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B43" w:rsidRDefault="003074DC">
      <w:pPr>
        <w:spacing w:after="0"/>
        <w:jc w:val="right"/>
      </w:pPr>
      <w:r>
        <w:rPr>
          <w:rFonts w:ascii="Lato Black"/>
          <w:b/>
        </w:rPr>
        <w:t>MSBA Core Manual</w:t>
      </w:r>
    </w:p>
    <w:p w:rsidR="00706B43" w:rsidRDefault="003074DC">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706B43">
        <w:tblPrEx>
          <w:tblCellMar>
            <w:bottom w:w="0" w:type="dxa"/>
          </w:tblCellMar>
        </w:tblPrEx>
        <w:tc>
          <w:tcPr>
            <w:tcW w:w="0" w:type="auto"/>
            <w:shd w:val="clear" w:color="auto" w:fill="EFEFEF"/>
          </w:tcPr>
          <w:p w:rsidR="00706B43" w:rsidRDefault="003074DC">
            <w:pPr>
              <w:spacing w:after="0"/>
            </w:pPr>
            <w:r>
              <w:rPr>
                <w:rFonts w:ascii="Lato Black"/>
                <w:b/>
              </w:rPr>
              <w:t>Policy JECA-1: ELIGIBILITY TO ENROLL</w:t>
            </w:r>
          </w:p>
        </w:tc>
        <w:tc>
          <w:tcPr>
            <w:tcW w:w="1000" w:type="pct"/>
            <w:shd w:val="clear" w:color="auto" w:fill="EFEFEF"/>
          </w:tcPr>
          <w:p w:rsidR="00706B43" w:rsidRDefault="003074DC">
            <w:r>
              <w:rPr>
                <w:rFonts w:ascii="Lato Black"/>
                <w:b/>
              </w:rPr>
              <w:t xml:space="preserve">Status: </w:t>
            </w:r>
            <w:r>
              <w:rPr>
                <w:rFonts w:ascii="Lato"/>
              </w:rPr>
              <w:t>ADOPTED</w:t>
            </w:r>
          </w:p>
        </w:tc>
      </w:tr>
      <w:tr w:rsidR="00706B43">
        <w:tblPrEx>
          <w:tblCellMar>
            <w:bottom w:w="0" w:type="dxa"/>
          </w:tblCellMar>
        </w:tblPrEx>
        <w:tc>
          <w:tcPr>
            <w:tcW w:w="0" w:type="auto"/>
            <w:shd w:val="clear" w:color="auto" w:fill="EFEFEF"/>
          </w:tcPr>
          <w:p w:rsidR="00706B43" w:rsidRDefault="003074DC">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05/01/2024</w:t>
            </w:r>
            <w:r>
              <w:rPr>
                <w:rFonts w:ascii="Lato Black"/>
                <w:b/>
                <w:sz w:val="18"/>
              </w:rPr>
              <w:t xml:space="preserve"> | Last Reviewed Date: </w:t>
            </w:r>
            <w:r>
              <w:rPr>
                <w:rFonts w:ascii="Lato"/>
                <w:sz w:val="18"/>
              </w:rPr>
              <w:t>10/16</w:t>
            </w:r>
            <w:r>
              <w:rPr>
                <w:rFonts w:ascii="Lato"/>
                <w:sz w:val="18"/>
              </w:rPr>
              <w:t>/2024</w:t>
            </w:r>
          </w:p>
        </w:tc>
        <w:tc>
          <w:tcPr>
            <w:tcW w:w="0" w:type="auto"/>
            <w:shd w:val="clear" w:color="auto" w:fill="EFEFEF"/>
          </w:tcPr>
          <w:p w:rsidR="00706B43" w:rsidRDefault="00706B43">
            <w:pPr>
              <w:spacing w:after="0"/>
            </w:pPr>
          </w:p>
        </w:tc>
      </w:tr>
    </w:tbl>
    <w:p w:rsidR="00706B43" w:rsidRDefault="00706B43">
      <w:pPr>
        <w:spacing w:after="30"/>
        <w:jc w:val="right"/>
      </w:pPr>
    </w:p>
    <w:p w:rsidR="00000000" w:rsidRDefault="003074DC">
      <w:pPr>
        <w:pStyle w:val="Heading3"/>
        <w:jc w:val="center"/>
        <w:divId w:val="1443383649"/>
        <w:rPr>
          <w:rFonts w:ascii="Lato" w:eastAsia="Times New Roman" w:hAnsi="Lato"/>
        </w:rPr>
      </w:pPr>
      <w:r>
        <w:rPr>
          <w:rStyle w:val="Emphasis"/>
          <w:rFonts w:ascii="Lato" w:eastAsia="Times New Roman" w:hAnsi="Lato"/>
        </w:rPr>
        <w:t>(District Allows Tuition-Paying, Nonresident Students to Enroll and Attend)</w:t>
      </w:r>
    </w:p>
    <w:p w:rsidR="00000000" w:rsidRDefault="003074DC">
      <w:pPr>
        <w:divId w:val="1443383649"/>
        <w:rPr>
          <w:rFonts w:ascii="Lato" w:eastAsia="Times New Roman" w:hAnsi="Lato"/>
        </w:rPr>
      </w:pPr>
      <w:r>
        <w:rPr>
          <w:rFonts w:ascii="Lato" w:eastAsia="Times New Roman" w:hAnsi="Lato"/>
        </w:rPr>
        <w:br/>
      </w:r>
      <w:r>
        <w:rPr>
          <w:rFonts w:ascii="Lato" w:eastAsia="Times New Roman" w:hAnsi="Lato"/>
        </w:rPr>
        <w:t xml:space="preserve">The </w:t>
      </w:r>
      <w:proofErr w:type="spellStart"/>
      <w:r>
        <w:rPr>
          <w:rFonts w:ascii="Lato" w:eastAsia="Times New Roman" w:hAnsi="Lato"/>
        </w:rPr>
        <w:t>DistrictCommonName</w:t>
      </w:r>
      <w:proofErr w:type="spellEnd"/>
      <w:r>
        <w:rPr>
          <w:rFonts w:ascii="Lato" w:eastAsia="Times New Roman" w:hAnsi="Lato"/>
        </w:rPr>
        <w:t xml:space="preserve"> (District) encourages all eligible students to enroll in the District. The superintendent or designee will develop an admission process that meets legal requirements and is efficient and welcoming to parents/guardians and students. </w:t>
      </w:r>
    </w:p>
    <w:p w:rsidR="00000000" w:rsidRDefault="003074DC">
      <w:pPr>
        <w:pStyle w:val="Heading3"/>
        <w:divId w:val="1443383649"/>
        <w:rPr>
          <w:rFonts w:ascii="Lato" w:eastAsia="Times New Roman" w:hAnsi="Lato"/>
        </w:rPr>
      </w:pPr>
      <w:r>
        <w:rPr>
          <w:rFonts w:ascii="Lato" w:eastAsia="Times New Roman" w:hAnsi="Lato"/>
        </w:rPr>
        <w:t>Enrollment</w:t>
      </w:r>
    </w:p>
    <w:p w:rsidR="00000000" w:rsidRDefault="003074DC">
      <w:pPr>
        <w:divId w:val="1443383649"/>
        <w:rPr>
          <w:rFonts w:ascii="Lato" w:eastAsia="Times New Roman" w:hAnsi="Lato"/>
        </w:rPr>
      </w:pPr>
      <w:r>
        <w:rPr>
          <w:rFonts w:ascii="Lato" w:eastAsia="Times New Roman" w:hAnsi="Lato"/>
        </w:rPr>
        <w:br/>
      </w:r>
      <w:proofErr w:type="gramStart"/>
      <w:r>
        <w:rPr>
          <w:rFonts w:ascii="Lato" w:eastAsia="Times New Roman" w:hAnsi="Lato"/>
        </w:rPr>
        <w:t>In general, in order to enroll a student in the District, the parent, legal guardian, military guardian, person acting as a parent, or the student must provide proof of legal residency in the District or request a waiver of proof of residency (</w:t>
      </w:r>
      <w:r>
        <w:rPr>
          <w:rFonts w:ascii="Lato" w:eastAsia="Times New Roman" w:hAnsi="Lato"/>
        </w:rPr>
        <w:t>as outlined in this policy) and must complete all admission requirements as determined by board policies, regulations, and procedures.</w:t>
      </w:r>
      <w:proofErr w:type="gramEnd"/>
      <w:r>
        <w:rPr>
          <w:rFonts w:ascii="Lato" w:eastAsia="Times New Roman" w:hAnsi="Lato"/>
        </w:rPr>
        <w:t xml:space="preserve"> Students whose parents/guardians </w:t>
      </w:r>
      <w:proofErr w:type="gramStart"/>
      <w:r>
        <w:rPr>
          <w:rFonts w:ascii="Lato" w:eastAsia="Times New Roman" w:hAnsi="Lato"/>
        </w:rPr>
        <w:t>are being relocated</w:t>
      </w:r>
      <w:proofErr w:type="gramEnd"/>
      <w:r>
        <w:rPr>
          <w:rFonts w:ascii="Lato" w:eastAsia="Times New Roman" w:hAnsi="Lato"/>
        </w:rPr>
        <w:t xml:space="preserve"> to Missouri under military orders and who are registering remotely a</w:t>
      </w:r>
      <w:r>
        <w:rPr>
          <w:rFonts w:ascii="Lato" w:eastAsia="Times New Roman" w:hAnsi="Lato"/>
        </w:rPr>
        <w:t>re required to provide proof of residency within ten days of the student's actual attendance in the District.</w:t>
      </w:r>
      <w:r>
        <w:rPr>
          <w:rFonts w:ascii="Lato" w:eastAsia="Times New Roman" w:hAnsi="Lato"/>
        </w:rPr>
        <w:br/>
      </w:r>
      <w:r>
        <w:rPr>
          <w:rFonts w:ascii="Lato" w:eastAsia="Times New Roman" w:hAnsi="Lato"/>
        </w:rPr>
        <w:br/>
        <w:t xml:space="preserve">The District may allow nonresident students to enroll in and attend the District upon payment of tuition as detailed in this policy. </w:t>
      </w:r>
    </w:p>
    <w:p w:rsidR="00000000" w:rsidRDefault="003074DC">
      <w:pPr>
        <w:pStyle w:val="Heading3"/>
        <w:divId w:val="1443383649"/>
        <w:rPr>
          <w:rFonts w:ascii="Lato" w:eastAsia="Times New Roman" w:hAnsi="Lato"/>
        </w:rPr>
      </w:pPr>
      <w:r>
        <w:rPr>
          <w:rFonts w:ascii="Lato" w:eastAsia="Times New Roman" w:hAnsi="Lato"/>
        </w:rPr>
        <w:t>Resident an</w:t>
      </w:r>
      <w:r>
        <w:rPr>
          <w:rFonts w:ascii="Lato" w:eastAsia="Times New Roman" w:hAnsi="Lato"/>
        </w:rPr>
        <w:t>d Nonresident Students</w:t>
      </w:r>
    </w:p>
    <w:p w:rsidR="00000000" w:rsidRDefault="003074DC">
      <w:pPr>
        <w:divId w:val="1443383649"/>
        <w:rPr>
          <w:rFonts w:ascii="Lato" w:eastAsia="Times New Roman" w:hAnsi="Lato"/>
        </w:rPr>
      </w:pPr>
      <w:r>
        <w:rPr>
          <w:rFonts w:ascii="Lato" w:eastAsia="Times New Roman" w:hAnsi="Lato"/>
        </w:rPr>
        <w:br/>
        <w:t xml:space="preserve">A student is a "resident" student if the student meets at least one of the following criteria: </w:t>
      </w:r>
    </w:p>
    <w:p w:rsidR="00000000" w:rsidRDefault="003074DC">
      <w:pPr>
        <w:numPr>
          <w:ilvl w:val="0"/>
          <w:numId w:val="1"/>
        </w:numPr>
        <w:spacing w:before="100" w:beforeAutospacing="1" w:after="100" w:afterAutospacing="1" w:line="240" w:lineRule="auto"/>
        <w:divId w:val="1443383649"/>
        <w:rPr>
          <w:rFonts w:ascii="Lato" w:eastAsia="Times New Roman" w:hAnsi="Lato"/>
        </w:rPr>
      </w:pPr>
      <w:r>
        <w:rPr>
          <w:rFonts w:ascii="Lato" w:eastAsia="Times New Roman" w:hAnsi="Lato"/>
        </w:rPr>
        <w:t xml:space="preserve">The student physically resides and </w:t>
      </w:r>
      <w:proofErr w:type="gramStart"/>
      <w:r>
        <w:rPr>
          <w:rFonts w:ascii="Lato" w:eastAsia="Times New Roman" w:hAnsi="Lato"/>
        </w:rPr>
        <w:t>is domiciled</w:t>
      </w:r>
      <w:proofErr w:type="gramEnd"/>
      <w:r>
        <w:rPr>
          <w:rFonts w:ascii="Lato" w:eastAsia="Times New Roman" w:hAnsi="Lato"/>
        </w:rPr>
        <w:t xml:space="preserve"> in the District. The domicile of a minor child shall be the domicile of a parent, milita</w:t>
      </w:r>
      <w:r>
        <w:rPr>
          <w:rFonts w:ascii="Lato" w:eastAsia="Times New Roman" w:hAnsi="Lato"/>
        </w:rPr>
        <w:t>ry guardian pursuant to a military-issued guardianship, or court-appointed legal guardian. A "power of attorney" document alone, with the exception of a special power of attorney document relevant to the guardianship of a child in the household of an activ</w:t>
      </w:r>
      <w:r>
        <w:rPr>
          <w:rFonts w:ascii="Lato" w:eastAsia="Times New Roman" w:hAnsi="Lato"/>
        </w:rPr>
        <w:t>e duty member of the military, is insufficient to satisfy the "court-appointed legal guardian" requirement.</w:t>
      </w:r>
      <w:r>
        <w:rPr>
          <w:rFonts w:ascii="Lato" w:eastAsia="Times New Roman" w:hAnsi="Lato"/>
        </w:rPr>
        <w:br/>
        <w:t> </w:t>
      </w:r>
    </w:p>
    <w:p w:rsidR="00000000" w:rsidRDefault="003074DC">
      <w:pPr>
        <w:numPr>
          <w:ilvl w:val="0"/>
          <w:numId w:val="1"/>
        </w:numPr>
        <w:spacing w:before="100" w:beforeAutospacing="1" w:after="100" w:afterAutospacing="1" w:line="240" w:lineRule="auto"/>
        <w:divId w:val="1443383649"/>
        <w:rPr>
          <w:rFonts w:ascii="Lato" w:eastAsia="Times New Roman" w:hAnsi="Lato"/>
        </w:rPr>
      </w:pPr>
      <w:r>
        <w:rPr>
          <w:rFonts w:ascii="Lato" w:eastAsia="Times New Roman" w:hAnsi="Lato"/>
        </w:rPr>
        <w:t>The student does not live with a parent, military guardian, or court-appointed guardian but does physically reside in the District for reasons oth</w:t>
      </w:r>
      <w:r>
        <w:rPr>
          <w:rFonts w:ascii="Lato" w:eastAsia="Times New Roman" w:hAnsi="Lato"/>
        </w:rPr>
        <w:t>er than obtaining access to the District's schools and has a waiver of proof of residency on file.</w:t>
      </w:r>
      <w:r>
        <w:rPr>
          <w:rFonts w:ascii="Lato" w:eastAsia="Times New Roman" w:hAnsi="Lato"/>
        </w:rPr>
        <w:br/>
        <w:t> </w:t>
      </w:r>
    </w:p>
    <w:p w:rsidR="00000000" w:rsidRDefault="003074DC">
      <w:pPr>
        <w:numPr>
          <w:ilvl w:val="0"/>
          <w:numId w:val="1"/>
        </w:numPr>
        <w:spacing w:before="100" w:beforeAutospacing="1" w:after="100" w:afterAutospacing="1" w:line="240" w:lineRule="auto"/>
        <w:divId w:val="1443383649"/>
        <w:rPr>
          <w:rFonts w:ascii="Lato" w:eastAsia="Times New Roman" w:hAnsi="Lato"/>
        </w:rPr>
      </w:pPr>
      <w:r>
        <w:rPr>
          <w:rFonts w:ascii="Lato" w:eastAsia="Times New Roman" w:hAnsi="Lato"/>
        </w:rPr>
        <w:t>The student will soon physically reside in the District due to relocation to Missouri of one or both of the student's parents/guardians under military orde</w:t>
      </w:r>
      <w:r>
        <w:rPr>
          <w:rFonts w:ascii="Lato" w:eastAsia="Times New Roman" w:hAnsi="Lato"/>
        </w:rPr>
        <w:t>rs.</w:t>
      </w:r>
    </w:p>
    <w:p w:rsidR="00000000" w:rsidRDefault="003074DC">
      <w:pPr>
        <w:spacing w:after="0"/>
        <w:divId w:val="1443383649"/>
        <w:rPr>
          <w:rFonts w:ascii="Lato" w:eastAsia="Times New Roman" w:hAnsi="Lato"/>
        </w:rPr>
      </w:pPr>
      <w:r>
        <w:rPr>
          <w:rFonts w:ascii="Lato" w:eastAsia="Times New Roman" w:hAnsi="Lato"/>
        </w:rPr>
        <w:t xml:space="preserve">Students who do not meet the requirements to be a resident student of the District, as defined in board policies and law, </w:t>
      </w:r>
      <w:proofErr w:type="gramStart"/>
      <w:r>
        <w:rPr>
          <w:rFonts w:ascii="Lato" w:eastAsia="Times New Roman" w:hAnsi="Lato"/>
        </w:rPr>
        <w:t>will be considered</w:t>
      </w:r>
      <w:proofErr w:type="gramEnd"/>
      <w:r>
        <w:rPr>
          <w:rFonts w:ascii="Lato" w:eastAsia="Times New Roman" w:hAnsi="Lato"/>
        </w:rPr>
        <w:t xml:space="preserve"> nonresidents. </w:t>
      </w:r>
    </w:p>
    <w:p w:rsidR="00000000" w:rsidRDefault="003074DC">
      <w:pPr>
        <w:pStyle w:val="Heading3"/>
        <w:divId w:val="1443383649"/>
        <w:rPr>
          <w:rFonts w:ascii="Lato" w:eastAsia="Times New Roman" w:hAnsi="Lato"/>
        </w:rPr>
      </w:pPr>
      <w:r>
        <w:rPr>
          <w:rFonts w:ascii="Lato" w:eastAsia="Times New Roman" w:hAnsi="Lato"/>
        </w:rPr>
        <w:t>Waiver of Proof of Residency</w:t>
      </w:r>
    </w:p>
    <w:p w:rsidR="00000000" w:rsidRDefault="003074DC">
      <w:pPr>
        <w:divId w:val="1443383649"/>
        <w:rPr>
          <w:rFonts w:ascii="Lato" w:eastAsia="Times New Roman" w:hAnsi="Lato"/>
        </w:rPr>
      </w:pPr>
      <w:r>
        <w:rPr>
          <w:rFonts w:ascii="Lato" w:eastAsia="Times New Roman" w:hAnsi="Lato"/>
        </w:rPr>
        <w:lastRenderedPageBreak/>
        <w:br/>
      </w:r>
      <w:proofErr w:type="gramStart"/>
      <w:r>
        <w:rPr>
          <w:rFonts w:ascii="Lato" w:eastAsia="Times New Roman" w:hAnsi="Lato"/>
        </w:rPr>
        <w:t xml:space="preserve">In cases where a student living in the District wishes to enroll, </w:t>
      </w:r>
      <w:r>
        <w:rPr>
          <w:rFonts w:ascii="Lato" w:eastAsia="Times New Roman" w:hAnsi="Lato"/>
        </w:rPr>
        <w:t>but the student does not live with a parent, military guardian, or court-appointed guardian in the District and is not otherwise allowed by law or a contractual relationship with another school district to attend, the student, parent, military guardian, le</w:t>
      </w:r>
      <w:r>
        <w:rPr>
          <w:rFonts w:ascii="Lato" w:eastAsia="Times New Roman" w:hAnsi="Lato"/>
        </w:rPr>
        <w:t>gal guardian, or person acting as a parent must request a waiver of proof of residency.</w:t>
      </w:r>
      <w:proofErr w:type="gramEnd"/>
      <w:r>
        <w:rPr>
          <w:rFonts w:ascii="Lato" w:eastAsia="Times New Roman" w:hAnsi="Lato"/>
        </w:rPr>
        <w:t xml:space="preserve"> Waivers of proof of residency will be granted only </w:t>
      </w:r>
      <w:proofErr w:type="gramStart"/>
      <w:r>
        <w:rPr>
          <w:rFonts w:ascii="Lato" w:eastAsia="Times New Roman" w:hAnsi="Lato"/>
        </w:rPr>
        <w:t>on the basis of</w:t>
      </w:r>
      <w:proofErr w:type="gramEnd"/>
      <w:r>
        <w:rPr>
          <w:rFonts w:ascii="Lato" w:eastAsia="Times New Roman" w:hAnsi="Lato"/>
        </w:rPr>
        <w:t xml:space="preserve"> hardship or good cause. Good cause shall include situations where the student is living in the Distri</w:t>
      </w:r>
      <w:r>
        <w:rPr>
          <w:rFonts w:ascii="Lato" w:eastAsia="Times New Roman" w:hAnsi="Lato"/>
        </w:rPr>
        <w:t>ct for reasons other than attending school in the District. Under no circumstances shall athletic ability be a valid basis of hardship or good cause for the issuance of a waiver.</w:t>
      </w:r>
      <w:r>
        <w:rPr>
          <w:rFonts w:ascii="Lato" w:eastAsia="Times New Roman" w:hAnsi="Lato"/>
        </w:rPr>
        <w:br/>
      </w:r>
      <w:r>
        <w:rPr>
          <w:rFonts w:ascii="Lato" w:eastAsia="Times New Roman" w:hAnsi="Lato"/>
        </w:rPr>
        <w:br/>
        <w:t>The board delegates to the superintendent or designee the responsibility for</w:t>
      </w:r>
      <w:r>
        <w:rPr>
          <w:rFonts w:ascii="Lato" w:eastAsia="Times New Roman" w:hAnsi="Lato"/>
        </w:rPr>
        <w:t xml:space="preserve"> bringing to the board's attention any waiver application in which the student is not clearly entitled to attend school in the District. All other applications</w:t>
      </w:r>
      <w:bookmarkStart w:id="0" w:name="_GoBack"/>
      <w:bookmarkEnd w:id="0"/>
      <w:r>
        <w:rPr>
          <w:rFonts w:ascii="Lato" w:eastAsia="Times New Roman" w:hAnsi="Lato"/>
        </w:rPr>
        <w:t xml:space="preserve"> </w:t>
      </w:r>
      <w:proofErr w:type="gramStart"/>
      <w:r>
        <w:rPr>
          <w:rFonts w:ascii="Lato" w:eastAsia="Times New Roman" w:hAnsi="Lato"/>
        </w:rPr>
        <w:t>will be accepted and granted by the superintendent or designee on behalf of the board</w:t>
      </w:r>
      <w:proofErr w:type="gramEnd"/>
      <w:r>
        <w:rPr>
          <w:rFonts w:ascii="Lato" w:eastAsia="Times New Roman" w:hAnsi="Lato"/>
        </w:rPr>
        <w:t>. Once a wa</w:t>
      </w:r>
      <w:r>
        <w:rPr>
          <w:rFonts w:ascii="Lato" w:eastAsia="Times New Roman" w:hAnsi="Lato"/>
        </w:rPr>
        <w:t xml:space="preserve">iver application </w:t>
      </w:r>
      <w:proofErr w:type="gramStart"/>
      <w:r>
        <w:rPr>
          <w:rFonts w:ascii="Lato" w:eastAsia="Times New Roman" w:hAnsi="Lato"/>
        </w:rPr>
        <w:t>has been identified</w:t>
      </w:r>
      <w:proofErr w:type="gramEnd"/>
      <w:r>
        <w:rPr>
          <w:rFonts w:ascii="Lato" w:eastAsia="Times New Roman" w:hAnsi="Lato"/>
        </w:rPr>
        <w:t xml:space="preserve"> for board review, the board shall convene a hearing to consider the request as soon as possible, but no later than 45 days after the receipt of the waiver request, or else the waiver shall be granted. The board presiden</w:t>
      </w:r>
      <w:r>
        <w:rPr>
          <w:rFonts w:ascii="Lato" w:eastAsia="Times New Roman" w:hAnsi="Lato"/>
        </w:rPr>
        <w:t>t may appoint a committee of the board to act in lieu of the board to consider waiver requests.</w:t>
      </w:r>
      <w:r>
        <w:rPr>
          <w:rFonts w:ascii="Lato" w:eastAsia="Times New Roman" w:hAnsi="Lato"/>
        </w:rPr>
        <w:br/>
      </w:r>
      <w:r>
        <w:rPr>
          <w:rFonts w:ascii="Lato" w:eastAsia="Times New Roman" w:hAnsi="Lato"/>
        </w:rPr>
        <w:br/>
        <w:t xml:space="preserve">If a waiver request </w:t>
      </w:r>
      <w:proofErr w:type="gramStart"/>
      <w:r>
        <w:rPr>
          <w:rFonts w:ascii="Lato" w:eastAsia="Times New Roman" w:hAnsi="Lato"/>
        </w:rPr>
        <w:t>has been forwarded</w:t>
      </w:r>
      <w:proofErr w:type="gramEnd"/>
      <w:r>
        <w:rPr>
          <w:rFonts w:ascii="Lato" w:eastAsia="Times New Roman" w:hAnsi="Lato"/>
        </w:rPr>
        <w:t xml:space="preserve"> to the board for review, the superintendent or designee may permit a student to temporarily enroll and attend school unt</w:t>
      </w:r>
      <w:r>
        <w:rPr>
          <w:rFonts w:ascii="Lato" w:eastAsia="Times New Roman" w:hAnsi="Lato"/>
        </w:rPr>
        <w:t xml:space="preserve">il the board meets to decide whether the waiver request will be granted, if it is determined to be in the best interest of the student. If the board grants the waiver request, the student </w:t>
      </w:r>
      <w:proofErr w:type="gramStart"/>
      <w:r>
        <w:rPr>
          <w:rFonts w:ascii="Lato" w:eastAsia="Times New Roman" w:hAnsi="Lato"/>
        </w:rPr>
        <w:t>will be allowed</w:t>
      </w:r>
      <w:proofErr w:type="gramEnd"/>
      <w:r>
        <w:rPr>
          <w:rFonts w:ascii="Lato" w:eastAsia="Times New Roman" w:hAnsi="Lato"/>
        </w:rPr>
        <w:t xml:space="preserve"> to continue attending school in the District. If the</w:t>
      </w:r>
      <w:r>
        <w:rPr>
          <w:rFonts w:ascii="Lato" w:eastAsia="Times New Roman" w:hAnsi="Lato"/>
        </w:rPr>
        <w:t xml:space="preserve"> board denies the waiver request, the student </w:t>
      </w:r>
      <w:proofErr w:type="gramStart"/>
      <w:r>
        <w:rPr>
          <w:rFonts w:ascii="Lato" w:eastAsia="Times New Roman" w:hAnsi="Lato"/>
        </w:rPr>
        <w:t>shall not be allowed</w:t>
      </w:r>
      <w:proofErr w:type="gramEnd"/>
      <w:r>
        <w:rPr>
          <w:rFonts w:ascii="Lato" w:eastAsia="Times New Roman" w:hAnsi="Lato"/>
        </w:rPr>
        <w:t xml:space="preserve"> to continue attending school in the District.</w:t>
      </w:r>
      <w:r>
        <w:rPr>
          <w:rFonts w:ascii="Lato" w:eastAsia="Times New Roman" w:hAnsi="Lato"/>
        </w:rPr>
        <w:br/>
      </w:r>
      <w:r>
        <w:rPr>
          <w:rFonts w:ascii="Lato" w:eastAsia="Times New Roman" w:hAnsi="Lato"/>
        </w:rPr>
        <w:br/>
        <w:t>In instances where there is reason to suspect that admission of the student will create an immediate danger to the safety of other students an</w:t>
      </w:r>
      <w:r>
        <w:rPr>
          <w:rFonts w:ascii="Lato" w:eastAsia="Times New Roman" w:hAnsi="Lato"/>
        </w:rPr>
        <w:t xml:space="preserve">d employees, the superintendent or designee may convene a hearing within five working days of the enrollment request to determine whether the student may enroll. </w:t>
      </w:r>
    </w:p>
    <w:p w:rsidR="00000000" w:rsidRDefault="003074DC">
      <w:pPr>
        <w:pStyle w:val="Heading3"/>
        <w:divId w:val="1443383649"/>
        <w:rPr>
          <w:rFonts w:ascii="Lato" w:eastAsia="Times New Roman" w:hAnsi="Lato"/>
        </w:rPr>
      </w:pPr>
      <w:r>
        <w:rPr>
          <w:rFonts w:ascii="Lato" w:eastAsia="Times New Roman" w:hAnsi="Lato"/>
        </w:rPr>
        <w:t>Students Otherwise Entitled by Law to Enroll</w:t>
      </w:r>
    </w:p>
    <w:p w:rsidR="00000000" w:rsidRDefault="003074DC">
      <w:pPr>
        <w:divId w:val="1443383649"/>
        <w:rPr>
          <w:rFonts w:ascii="Lato" w:eastAsia="Times New Roman" w:hAnsi="Lato"/>
        </w:rPr>
      </w:pPr>
      <w:r>
        <w:rPr>
          <w:rFonts w:ascii="Lato" w:eastAsia="Times New Roman" w:hAnsi="Lato"/>
        </w:rPr>
        <w:br/>
        <w:t>In accordance with law, students will be enroll</w:t>
      </w:r>
      <w:r>
        <w:rPr>
          <w:rFonts w:ascii="Lato" w:eastAsia="Times New Roman" w:hAnsi="Lato"/>
        </w:rPr>
        <w:t xml:space="preserve">ed and admitted without going through the waiver process when they attend under one of the following conditions, and tuition for these students, when applicable, </w:t>
      </w:r>
      <w:proofErr w:type="gramStart"/>
      <w:r>
        <w:rPr>
          <w:rFonts w:ascii="Lato" w:eastAsia="Times New Roman" w:hAnsi="Lato"/>
        </w:rPr>
        <w:t>will be charged</w:t>
      </w:r>
      <w:proofErr w:type="gramEnd"/>
      <w:r>
        <w:rPr>
          <w:rFonts w:ascii="Lato" w:eastAsia="Times New Roman" w:hAnsi="Lato"/>
        </w:rPr>
        <w:t xml:space="preserve"> in accordance with policy DFI. These conditions include students who: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Are con</w:t>
      </w:r>
      <w:r>
        <w:rPr>
          <w:rFonts w:ascii="Lato" w:eastAsia="Times New Roman" w:hAnsi="Lato"/>
        </w:rPr>
        <w:t xml:space="preserve">sidered homeless in accordance with state and federal law (42 U.S.C. § 11431 - 11435;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 xml:space="preserve">Are attending as participants in an </w:t>
      </w:r>
      <w:proofErr w:type="spellStart"/>
      <w:r>
        <w:rPr>
          <w:rFonts w:ascii="Lato" w:eastAsia="Times New Roman" w:hAnsi="Lato"/>
        </w:rPr>
        <w:t>interdistrict</w:t>
      </w:r>
      <w:proofErr w:type="spellEnd"/>
      <w:r>
        <w:rPr>
          <w:rFonts w:ascii="Lato" w:eastAsia="Times New Roman" w:hAnsi="Lato"/>
        </w:rPr>
        <w:t xml:space="preserve"> transfer program established under a court-ordered desegregation program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 xml:space="preserve">Are </w:t>
      </w:r>
      <w:r>
        <w:rPr>
          <w:rFonts w:ascii="Lato" w:eastAsia="Times New Roman" w:hAnsi="Lato"/>
        </w:rPr>
        <w:t xml:space="preserve">wards of the state and have been placed in a residential care facility within the District by state officials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 xml:space="preserve">Have been placed in a residential care facility within the District due to a mental illness or </w:t>
      </w:r>
      <w:proofErr w:type="gramStart"/>
      <w:r>
        <w:rPr>
          <w:rFonts w:ascii="Lato" w:eastAsia="Times New Roman" w:hAnsi="Lato"/>
        </w:rPr>
        <w:t>developmental</w:t>
      </w:r>
      <w:proofErr w:type="gramEnd"/>
      <w:r>
        <w:rPr>
          <w:rFonts w:ascii="Lato" w:eastAsia="Times New Roman" w:hAnsi="Lato"/>
        </w:rPr>
        <w:t xml:space="preserve"> disability (§ 1</w:t>
      </w:r>
      <w:r>
        <w:rPr>
          <w:rFonts w:ascii="Lato" w:eastAsia="Times New Roman" w:hAnsi="Lato"/>
        </w:rPr>
        <w:t xml:space="preserve">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 xml:space="preserve">Have been placed in a residential care facility within the District by a juvenile court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Are assigned to the District by the commissioner of education due to an unusual or unreasonable transportation hardship (§ 167.1</w:t>
      </w:r>
      <w:r>
        <w:rPr>
          <w:rFonts w:ascii="Lato" w:eastAsia="Times New Roman" w:hAnsi="Lato"/>
        </w:rPr>
        <w:t xml:space="preserve">21, </w:t>
      </w:r>
      <w:proofErr w:type="spellStart"/>
      <w:r>
        <w:rPr>
          <w:rFonts w:ascii="Lato" w:eastAsia="Times New Roman" w:hAnsi="Lato"/>
        </w:rPr>
        <w:t>RSMo</w:t>
      </w:r>
      <w:proofErr w:type="spellEnd"/>
      <w:r>
        <w:rPr>
          <w:rFonts w:ascii="Lato" w:eastAsia="Times New Roman" w:hAnsi="Lato"/>
        </w:rPr>
        <w:t>.). The school district the student lives in will pay the tuition.</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lastRenderedPageBreak/>
        <w:t>Have been identified as students with disabilities under state eligibility criteria and are in the District for reasons other than accessing the District's educational program (§ </w:t>
      </w:r>
      <w:r>
        <w:rPr>
          <w:rFonts w:ascii="Lato" w:eastAsia="Times New Roman" w:hAnsi="Lato"/>
        </w:rPr>
        <w:t xml:space="preserve">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Have a permanent or temporary home in the District and are orphans, have only one parent living, or their parents do not contribute to their support, as long as the students are between the ages of 6 and 20 years old and are unable to pa</w:t>
      </w:r>
      <w:r>
        <w:rPr>
          <w:rFonts w:ascii="Lato" w:eastAsia="Times New Roman" w:hAnsi="Lato"/>
        </w:rPr>
        <w:t xml:space="preserve">y tuition (§ 167.151,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2"/>
        </w:numPr>
        <w:spacing w:before="100" w:beforeAutospacing="1" w:after="100" w:afterAutospacing="1" w:line="240" w:lineRule="auto"/>
        <w:divId w:val="1443383649"/>
        <w:rPr>
          <w:rFonts w:ascii="Lato" w:eastAsia="Times New Roman" w:hAnsi="Lato"/>
        </w:rPr>
      </w:pPr>
      <w:r>
        <w:rPr>
          <w:rFonts w:ascii="Lato" w:eastAsia="Times New Roman" w:hAnsi="Lato"/>
        </w:rPr>
        <w:t>Are children whose parent:</w:t>
      </w:r>
      <w:r>
        <w:rPr>
          <w:rFonts w:ascii="Lato" w:eastAsia="Times New Roman" w:hAnsi="Lato"/>
        </w:rPr>
        <w:br/>
        <w:t xml:space="preserve">  </w:t>
      </w:r>
    </w:p>
    <w:p w:rsidR="00000000" w:rsidRDefault="003074DC">
      <w:pPr>
        <w:numPr>
          <w:ilvl w:val="1"/>
          <w:numId w:val="2"/>
        </w:numPr>
        <w:spacing w:before="100" w:beforeAutospacing="1" w:after="100" w:afterAutospacing="1" w:line="240" w:lineRule="auto"/>
        <w:divId w:val="1443383649"/>
        <w:rPr>
          <w:rFonts w:ascii="Lato" w:eastAsia="Times New Roman" w:hAnsi="Lato"/>
        </w:rPr>
      </w:pPr>
      <w:r>
        <w:rPr>
          <w:rFonts w:ascii="Lato" w:eastAsia="Times New Roman" w:hAnsi="Lato"/>
        </w:rPr>
        <w:t>Currently owns residential or agricultural real property in the District or is a named beneficiary of a trust that owns such property;</w:t>
      </w:r>
      <w:r>
        <w:rPr>
          <w:rFonts w:ascii="Lato" w:eastAsia="Times New Roman" w:hAnsi="Lato"/>
        </w:rPr>
        <w:br/>
        <w:t> </w:t>
      </w:r>
    </w:p>
    <w:p w:rsidR="00000000" w:rsidRDefault="003074DC">
      <w:pPr>
        <w:numPr>
          <w:ilvl w:val="1"/>
          <w:numId w:val="2"/>
        </w:numPr>
        <w:spacing w:before="100" w:beforeAutospacing="1" w:after="100" w:afterAutospacing="1" w:line="240" w:lineRule="auto"/>
        <w:divId w:val="1443383649"/>
        <w:rPr>
          <w:rFonts w:ascii="Lato" w:eastAsia="Times New Roman" w:hAnsi="Lato"/>
        </w:rPr>
      </w:pPr>
      <w:r>
        <w:rPr>
          <w:rFonts w:ascii="Lato" w:eastAsia="Times New Roman" w:hAnsi="Lato"/>
        </w:rPr>
        <w:t>Provides proof of ownership, or proof of the trust's ownership, of the property for at least the previous four consecutive years;</w:t>
      </w:r>
      <w:r>
        <w:rPr>
          <w:rFonts w:ascii="Lato" w:eastAsia="Times New Roman" w:hAnsi="Lato"/>
        </w:rPr>
        <w:br/>
        <w:t> </w:t>
      </w:r>
    </w:p>
    <w:p w:rsidR="00000000" w:rsidRDefault="003074DC">
      <w:pPr>
        <w:numPr>
          <w:ilvl w:val="1"/>
          <w:numId w:val="2"/>
        </w:numPr>
        <w:spacing w:before="100" w:beforeAutospacing="1" w:after="100" w:afterAutospacing="1" w:line="240" w:lineRule="auto"/>
        <w:divId w:val="1443383649"/>
        <w:rPr>
          <w:rFonts w:ascii="Lato" w:eastAsia="Times New Roman" w:hAnsi="Lato"/>
        </w:rPr>
      </w:pPr>
      <w:r>
        <w:rPr>
          <w:rFonts w:ascii="Lato" w:eastAsia="Times New Roman" w:hAnsi="Lato"/>
        </w:rPr>
        <w:t>Provides proof that the parent or the trust has annually paid a minimum of $2,000 in school taxes to the school district lev</w:t>
      </w:r>
      <w:r>
        <w:rPr>
          <w:rFonts w:ascii="Lato" w:eastAsia="Times New Roman" w:hAnsi="Lato"/>
        </w:rPr>
        <w:t>ied on the property;</w:t>
      </w:r>
      <w:r>
        <w:rPr>
          <w:rFonts w:ascii="Lato" w:eastAsia="Times New Roman" w:hAnsi="Lato"/>
        </w:rPr>
        <w:br/>
        <w:t> </w:t>
      </w:r>
    </w:p>
    <w:p w:rsidR="00000000" w:rsidRDefault="003074DC">
      <w:pPr>
        <w:numPr>
          <w:ilvl w:val="1"/>
          <w:numId w:val="2"/>
        </w:numPr>
        <w:spacing w:before="100" w:beforeAutospacing="1" w:after="100" w:afterAutospacing="1" w:line="240" w:lineRule="auto"/>
        <w:divId w:val="1443383649"/>
        <w:rPr>
          <w:rFonts w:ascii="Lato" w:eastAsia="Times New Roman" w:hAnsi="Lato"/>
        </w:rPr>
      </w:pPr>
      <w:r>
        <w:rPr>
          <w:rFonts w:ascii="Lato" w:eastAsia="Times New Roman" w:hAnsi="Lato"/>
        </w:rPr>
        <w:t>Resides in the same county as the District; and</w:t>
      </w:r>
      <w:r>
        <w:rPr>
          <w:rFonts w:ascii="Lato" w:eastAsia="Times New Roman" w:hAnsi="Lato"/>
        </w:rPr>
        <w:br/>
        <w:t> </w:t>
      </w:r>
    </w:p>
    <w:p w:rsidR="00000000" w:rsidRDefault="003074DC">
      <w:pPr>
        <w:numPr>
          <w:ilvl w:val="1"/>
          <w:numId w:val="2"/>
        </w:numPr>
        <w:spacing w:before="100" w:beforeAutospacing="1" w:after="100" w:afterAutospacing="1" w:line="240" w:lineRule="auto"/>
        <w:divId w:val="1443383649"/>
        <w:rPr>
          <w:rFonts w:ascii="Lato" w:eastAsia="Times New Roman" w:hAnsi="Lato"/>
        </w:rPr>
      </w:pPr>
      <w:r>
        <w:rPr>
          <w:rFonts w:ascii="Lato" w:eastAsia="Times New Roman" w:hAnsi="Lato"/>
        </w:rPr>
        <w:t>Provides 30 days' written notice to the District of their intent to enroll the child.</w:t>
      </w:r>
    </w:p>
    <w:p w:rsidR="00000000" w:rsidRDefault="003074DC">
      <w:pPr>
        <w:spacing w:after="0"/>
        <w:divId w:val="1713580208"/>
        <w:rPr>
          <w:rFonts w:ascii="Lato" w:eastAsia="Times New Roman" w:hAnsi="Lato"/>
        </w:rPr>
      </w:pPr>
      <w:r>
        <w:rPr>
          <w:rFonts w:ascii="Lato" w:eastAsia="Times New Roman" w:hAnsi="Lato"/>
        </w:rPr>
        <w:t>The parent may send up to four of their children to the District under this provision. For the pu</w:t>
      </w:r>
      <w:r>
        <w:rPr>
          <w:rFonts w:ascii="Lato" w:eastAsia="Times New Roman" w:hAnsi="Lato"/>
        </w:rPr>
        <w:t>rposes of this exception, “residential real property” does not include multi-family residential property that exceeds four units.</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Have been placed by the Missouri Department of Mental Health, the Missouri Department of Social Services, or by court order in</w:t>
      </w:r>
      <w:r>
        <w:rPr>
          <w:rFonts w:ascii="Lato" w:eastAsia="Times New Roman" w:hAnsi="Lato"/>
        </w:rPr>
        <w:t xml:space="preserve"> facilities or programs located within the District, even if their domicile is in another school district (§ 167.126, </w:t>
      </w:r>
      <w:proofErr w:type="spellStart"/>
      <w:r>
        <w:rPr>
          <w:rFonts w:ascii="Lato" w:eastAsia="Times New Roman" w:hAnsi="Lato"/>
        </w:rPr>
        <w:t>RSMo</w:t>
      </w:r>
      <w:proofErr w:type="spellEnd"/>
      <w:r>
        <w:rPr>
          <w:rFonts w:ascii="Lato" w:eastAsia="Times New Roman" w:hAnsi="Lato"/>
        </w:rPr>
        <w:t xml:space="preserve">.). Tuition </w:t>
      </w:r>
      <w:proofErr w:type="gramStart"/>
      <w:r>
        <w:rPr>
          <w:rFonts w:ascii="Lato" w:eastAsia="Times New Roman" w:hAnsi="Lato"/>
        </w:rPr>
        <w:t>will be collected</w:t>
      </w:r>
      <w:proofErr w:type="gramEnd"/>
      <w:r>
        <w:rPr>
          <w:rFonts w:ascii="Lato" w:eastAsia="Times New Roman" w:hAnsi="Lato"/>
        </w:rPr>
        <w:t xml:space="preserve"> in accordance with policy DFI.</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 xml:space="preserve">Have been placed in a psychiatric residential treatment facility under </w:t>
      </w:r>
      <w:r>
        <w:rPr>
          <w:rFonts w:ascii="Lato" w:eastAsia="Times New Roman" w:hAnsi="Lato"/>
        </w:rPr>
        <w:t xml:space="preserve">a physician's order because of a determination of medical necessity for a diagnosed mental illness, even if their domicile is in another school district (§ 167.126, </w:t>
      </w:r>
      <w:proofErr w:type="spellStart"/>
      <w:r>
        <w:rPr>
          <w:rFonts w:ascii="Lato" w:eastAsia="Times New Roman" w:hAnsi="Lato"/>
        </w:rPr>
        <w:t>RSMo</w:t>
      </w:r>
      <w:proofErr w:type="spellEnd"/>
      <w:r>
        <w:rPr>
          <w:rFonts w:ascii="Lato" w:eastAsia="Times New Roman" w:hAnsi="Lato"/>
        </w:rPr>
        <w:t xml:space="preserve">.). Tuition </w:t>
      </w:r>
      <w:proofErr w:type="gramStart"/>
      <w:r>
        <w:rPr>
          <w:rFonts w:ascii="Lato" w:eastAsia="Times New Roman" w:hAnsi="Lato"/>
        </w:rPr>
        <w:t>will be collected</w:t>
      </w:r>
      <w:proofErr w:type="gramEnd"/>
      <w:r>
        <w:rPr>
          <w:rFonts w:ascii="Lato" w:eastAsia="Times New Roman" w:hAnsi="Lato"/>
        </w:rPr>
        <w:t xml:space="preserve"> in accordance with policy DFI.</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Are residing in a Missou</w:t>
      </w:r>
      <w:r>
        <w:rPr>
          <w:rFonts w:ascii="Lato" w:eastAsia="Times New Roman" w:hAnsi="Lato"/>
        </w:rPr>
        <w:t xml:space="preserve">ri school district that has been declared unaccredited by the Missouri State Board of Education (State Board) and that is located in the same county as the District or an adjoining county (§ 167.895, </w:t>
      </w:r>
      <w:proofErr w:type="spellStart"/>
      <w:r>
        <w:rPr>
          <w:rFonts w:ascii="Lato" w:eastAsia="Times New Roman" w:hAnsi="Lato"/>
        </w:rPr>
        <w:t>RSMo</w:t>
      </w:r>
      <w:proofErr w:type="spellEnd"/>
      <w:r>
        <w:rPr>
          <w:rFonts w:ascii="Lato" w:eastAsia="Times New Roman" w:hAnsi="Lato"/>
        </w:rPr>
        <w:t>.). The unaccredited school district will pay tuitio</w:t>
      </w:r>
      <w:r>
        <w:rPr>
          <w:rFonts w:ascii="Lato" w:eastAsia="Times New Roman" w:hAnsi="Lato"/>
        </w:rPr>
        <w:t>n as required by law. The District is not responsible for providing transportation.</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Are living in a school district that does not provide education for all grade levels (such as K–6 or K–8 school districts) that is located in the same county as the Distr</w:t>
      </w:r>
      <w:r>
        <w:rPr>
          <w:rFonts w:ascii="Lato" w:eastAsia="Times New Roman" w:hAnsi="Lato"/>
        </w:rPr>
        <w:t xml:space="preserve">ict or an adjoining county (§ 167.131, </w:t>
      </w:r>
      <w:proofErr w:type="spellStart"/>
      <w:r>
        <w:rPr>
          <w:rFonts w:ascii="Lato" w:eastAsia="Times New Roman" w:hAnsi="Lato"/>
        </w:rPr>
        <w:t>RSMo</w:t>
      </w:r>
      <w:proofErr w:type="spellEnd"/>
      <w:r>
        <w:rPr>
          <w:rFonts w:ascii="Lato" w:eastAsia="Times New Roman" w:hAnsi="Lato"/>
        </w:rPr>
        <w:t>.). The school district the student lives in will pay tuition as calculated by the District or the State Board in accordance with law. The District is not responsible for providing transportation. Before the Distr</w:t>
      </w:r>
      <w:r>
        <w:rPr>
          <w:rFonts w:ascii="Lato" w:eastAsia="Times New Roman" w:hAnsi="Lato"/>
        </w:rPr>
        <w:t>ict will enroll the student, the student must first enroll in the school district the student lives in and verify residency in that school district.</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Are placed in the care of another person living in the District because one or both of their parents/guar</w:t>
      </w:r>
      <w:r>
        <w:rPr>
          <w:rFonts w:ascii="Lato" w:eastAsia="Times New Roman" w:hAnsi="Lato"/>
        </w:rPr>
        <w:t xml:space="preserve">dians have been stationed or deployed out of state or deployed within Missouri by the military or because of active duty military service. These students will be allowed to attend without the payment of tuition (§§ 160.2000, 167.020, </w:t>
      </w:r>
      <w:proofErr w:type="spellStart"/>
      <w:r>
        <w:rPr>
          <w:rFonts w:ascii="Lato" w:eastAsia="Times New Roman" w:hAnsi="Lato"/>
        </w:rPr>
        <w:t>RSMo</w:t>
      </w:r>
      <w:proofErr w:type="spellEnd"/>
      <w:r>
        <w:rPr>
          <w:rFonts w:ascii="Lato" w:eastAsia="Times New Roman" w:hAnsi="Lato"/>
        </w:rPr>
        <w:t>.). In addition, i</w:t>
      </w:r>
      <w:r>
        <w:rPr>
          <w:rFonts w:ascii="Lato" w:eastAsia="Times New Roman" w:hAnsi="Lato"/>
        </w:rPr>
        <w:t>f the active duty orders expire during the school year, the students may finish the school year in the District in accordance with law.</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proofErr w:type="gramStart"/>
      <w:r>
        <w:rPr>
          <w:rFonts w:ascii="Lato" w:eastAsia="Times New Roman" w:hAnsi="Lato"/>
        </w:rPr>
        <w:t>Were enrolled</w:t>
      </w:r>
      <w:proofErr w:type="gramEnd"/>
      <w:r>
        <w:rPr>
          <w:rFonts w:ascii="Lato" w:eastAsia="Times New Roman" w:hAnsi="Lato"/>
        </w:rPr>
        <w:t xml:space="preserve"> in the District but, due to the active duty military service of a parent/guardian, are placed in the car</w:t>
      </w:r>
      <w:r>
        <w:rPr>
          <w:rFonts w:ascii="Lato" w:eastAsia="Times New Roman" w:hAnsi="Lato"/>
        </w:rPr>
        <w:t xml:space="preserve">e of a person who resides in another school district. These students will be allowed to continue to attend school in the District without payment of tuition (§ 160.2000,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lastRenderedPageBreak/>
        <w:t>Attend a private school within the District and are enrolled in the District</w:t>
      </w:r>
      <w:r>
        <w:rPr>
          <w:rFonts w:ascii="Lato" w:eastAsia="Times New Roman" w:hAnsi="Lato"/>
        </w:rPr>
        <w:t xml:space="preserve"> for the limited purpose of special education identification and the receipt of some special education services when available as mandated by federal special education law (§ 167.020,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r>
        <w:rPr>
          <w:rFonts w:ascii="Lato" w:eastAsia="Times New Roman" w:hAnsi="Lato"/>
        </w:rPr>
        <w:t>Previously attended the District and have been placed in foste</w:t>
      </w:r>
      <w:r>
        <w:rPr>
          <w:rFonts w:ascii="Lato" w:eastAsia="Times New Roman" w:hAnsi="Lato"/>
        </w:rPr>
        <w:t xml:space="preserve">r care in an adjacent school district (§ 167.019,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3074DC">
      <w:pPr>
        <w:numPr>
          <w:ilvl w:val="0"/>
          <w:numId w:val="3"/>
        </w:numPr>
        <w:spacing w:before="100" w:beforeAutospacing="1" w:after="100" w:afterAutospacing="1" w:line="240" w:lineRule="auto"/>
        <w:divId w:val="1443383649"/>
        <w:rPr>
          <w:rFonts w:ascii="Lato" w:eastAsia="Times New Roman" w:hAnsi="Lato"/>
        </w:rPr>
      </w:pPr>
      <w:proofErr w:type="gramStart"/>
      <w:r>
        <w:rPr>
          <w:rFonts w:ascii="Lato" w:eastAsia="Times New Roman" w:hAnsi="Lato"/>
        </w:rPr>
        <w:t>Are otherwise required</w:t>
      </w:r>
      <w:proofErr w:type="gramEnd"/>
      <w:r>
        <w:rPr>
          <w:rFonts w:ascii="Lato" w:eastAsia="Times New Roman" w:hAnsi="Lato"/>
        </w:rPr>
        <w:t xml:space="preserve"> by law to be enrolled and admitted.</w:t>
      </w:r>
    </w:p>
    <w:p w:rsidR="00000000" w:rsidRDefault="003074DC">
      <w:pPr>
        <w:pStyle w:val="Heading3"/>
        <w:divId w:val="1443383649"/>
        <w:rPr>
          <w:rFonts w:ascii="Lato" w:eastAsia="Times New Roman" w:hAnsi="Lato"/>
        </w:rPr>
      </w:pPr>
      <w:r>
        <w:rPr>
          <w:rFonts w:ascii="Lato" w:eastAsia="Times New Roman" w:hAnsi="Lato"/>
        </w:rPr>
        <w:t>Enrollment at the Option of the District</w:t>
      </w:r>
    </w:p>
    <w:p w:rsidR="00000000" w:rsidRDefault="003074DC">
      <w:pPr>
        <w:divId w:val="1443383649"/>
        <w:rPr>
          <w:rFonts w:ascii="Lato" w:eastAsia="Times New Roman" w:hAnsi="Lato"/>
        </w:rPr>
      </w:pPr>
      <w:r>
        <w:rPr>
          <w:rFonts w:ascii="Lato" w:eastAsia="Times New Roman" w:hAnsi="Lato"/>
        </w:rPr>
        <w:br/>
        <w:t xml:space="preserve">The board, in its discretion, may also allow students to enroll and attend under the following </w:t>
      </w:r>
      <w:r>
        <w:rPr>
          <w:rFonts w:ascii="Lato" w:eastAsia="Times New Roman" w:hAnsi="Lato"/>
        </w:rPr>
        <w:t xml:space="preserve">circumstances without going through the waiver process. Unless required by law, no student </w:t>
      </w:r>
      <w:proofErr w:type="gramStart"/>
      <w:r>
        <w:rPr>
          <w:rFonts w:ascii="Lato" w:eastAsia="Times New Roman" w:hAnsi="Lato"/>
        </w:rPr>
        <w:t>will be enrolled</w:t>
      </w:r>
      <w:proofErr w:type="gramEnd"/>
      <w:r>
        <w:rPr>
          <w:rFonts w:ascii="Lato" w:eastAsia="Times New Roman" w:hAnsi="Lato"/>
        </w:rPr>
        <w:t xml:space="preserve"> if the enrollment might result in overcrowding, disruption to the educational environment, or a financial hardship to the District.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The District ma</w:t>
      </w:r>
      <w:r>
        <w:rPr>
          <w:rFonts w:ascii="Lato" w:eastAsia="Times New Roman" w:hAnsi="Lato"/>
        </w:rPr>
        <w:t xml:space="preserve">y enroll and educate nonresident students on a contractual basis with another school district that will pay the tuition or educational expenses (§ 167.020, </w:t>
      </w:r>
      <w:proofErr w:type="spellStart"/>
      <w:r>
        <w:rPr>
          <w:rFonts w:ascii="Lato" w:eastAsia="Times New Roman" w:hAnsi="Lato"/>
        </w:rPr>
        <w:t>RSMo</w:t>
      </w:r>
      <w:proofErr w:type="spellEnd"/>
      <w:r>
        <w:rPr>
          <w:rFonts w:ascii="Lato" w:eastAsia="Times New Roman" w:hAnsi="Lato"/>
        </w:rPr>
        <w:t>.). For example, students may attend a District alternative education program on a contractual b</w:t>
      </w:r>
      <w:r>
        <w:rPr>
          <w:rFonts w:ascii="Lato" w:eastAsia="Times New Roman" w:hAnsi="Lato"/>
        </w:rPr>
        <w:t>asis or as part of a regional or cooperative education program.</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 xml:space="preserve">The children of nonresident teachers and regular employees may enroll without paying tuition when the resident school district is not otherwise liable for tuition (§§ 163.011, 168.151,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t xml:space="preserve">). In accordance with law, these students will be considered resident students </w:t>
      </w:r>
      <w:proofErr w:type="gramStart"/>
      <w:r>
        <w:rPr>
          <w:rFonts w:ascii="Lato" w:eastAsia="Times New Roman" w:hAnsi="Lato"/>
        </w:rPr>
        <w:t>for the purpose of</w:t>
      </w:r>
      <w:proofErr w:type="gramEnd"/>
      <w:r>
        <w:rPr>
          <w:rFonts w:ascii="Lato" w:eastAsia="Times New Roman" w:hAnsi="Lato"/>
        </w:rPr>
        <w:t xml:space="preserve"> determining average daily attendance, and the board shall not solicit or receive money from a teacher employed by the District for the purpose of paying tuiti</w:t>
      </w:r>
      <w:r>
        <w:rPr>
          <w:rFonts w:ascii="Lato" w:eastAsia="Times New Roman" w:hAnsi="Lato"/>
        </w:rPr>
        <w:t>on or any other expenses for the operation of schools.</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 xml:space="preserve">The District may enroll students pursuant to a contractual arrangement that complies with the Enrollment Option Act when permitted by law (§§ 162.1040 - .1059, </w:t>
      </w:r>
      <w:proofErr w:type="spellStart"/>
      <w:r>
        <w:rPr>
          <w:rFonts w:ascii="Lato" w:eastAsia="Times New Roman" w:hAnsi="Lato"/>
        </w:rPr>
        <w:t>RSMo</w:t>
      </w:r>
      <w:proofErr w:type="spellEnd"/>
      <w:r>
        <w:rPr>
          <w:rFonts w:ascii="Lato" w:eastAsia="Times New Roman" w:hAnsi="Lato"/>
        </w:rPr>
        <w:t xml:space="preserve">.). A nonresident student enrolled </w:t>
      </w:r>
      <w:r>
        <w:rPr>
          <w:rFonts w:ascii="Lato" w:eastAsia="Times New Roman" w:hAnsi="Lato"/>
        </w:rPr>
        <w:t xml:space="preserve">pursuant to an enrollment option program </w:t>
      </w:r>
      <w:proofErr w:type="gramStart"/>
      <w:r>
        <w:rPr>
          <w:rFonts w:ascii="Lato" w:eastAsia="Times New Roman" w:hAnsi="Lato"/>
        </w:rPr>
        <w:t>shall be counted</w:t>
      </w:r>
      <w:proofErr w:type="gramEnd"/>
      <w:r>
        <w:rPr>
          <w:rFonts w:ascii="Lato" w:eastAsia="Times New Roman" w:hAnsi="Lato"/>
        </w:rPr>
        <w:t xml:space="preserve"> as a resident student for the purposes of determining state aid.</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 xml:space="preserve">Nonresident students living in Missouri </w:t>
      </w:r>
      <w:proofErr w:type="gramStart"/>
      <w:r>
        <w:rPr>
          <w:rFonts w:ascii="Lato" w:eastAsia="Times New Roman" w:hAnsi="Lato"/>
        </w:rPr>
        <w:t>will be permitted</w:t>
      </w:r>
      <w:proofErr w:type="gramEnd"/>
      <w:r>
        <w:rPr>
          <w:rFonts w:ascii="Lato" w:eastAsia="Times New Roman" w:hAnsi="Lato"/>
        </w:rPr>
        <w:t xml:space="preserve"> to enroll in the District's schools upon payment of tuition if admission </w:t>
      </w:r>
      <w:r>
        <w:rPr>
          <w:rFonts w:ascii="Lato" w:eastAsia="Times New Roman" w:hAnsi="Lato"/>
        </w:rPr>
        <w:t>will not exceed the target class sizes and student-to-teacher ratios set by the board.</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 xml:space="preserve">In accordance with law, the District may enroll nonresident students in its summer school program if there is room in the program to accommodate the students, and the </w:t>
      </w:r>
      <w:r>
        <w:rPr>
          <w:rFonts w:ascii="Lato" w:eastAsia="Times New Roman" w:hAnsi="Lato"/>
        </w:rPr>
        <w:t xml:space="preserve">students are not attending summer school in another school district (§ 167.227, </w:t>
      </w:r>
      <w:proofErr w:type="spellStart"/>
      <w:r>
        <w:rPr>
          <w:rFonts w:ascii="Lato" w:eastAsia="Times New Roman" w:hAnsi="Lato"/>
        </w:rPr>
        <w:t>RSMo</w:t>
      </w:r>
      <w:proofErr w:type="spellEnd"/>
      <w:r>
        <w:rPr>
          <w:rFonts w:ascii="Lato" w:eastAsia="Times New Roman" w:hAnsi="Lato"/>
        </w:rPr>
        <w:t>.). The District will either count the students as residents for state aid purposes or allow them to attend upon payment of tuition by another school district or the parent</w:t>
      </w:r>
      <w:r>
        <w:rPr>
          <w:rFonts w:ascii="Lato" w:eastAsia="Times New Roman" w:hAnsi="Lato"/>
        </w:rPr>
        <w:t>s/guardians.</w:t>
      </w:r>
      <w:r>
        <w:rPr>
          <w:rFonts w:ascii="Lato" w:eastAsia="Times New Roman" w:hAnsi="Lato"/>
        </w:rPr>
        <w:br/>
      </w:r>
      <w:r>
        <w:rPr>
          <w:rFonts w:ascii="Lato" w:eastAsia="Times New Roman" w:hAnsi="Lato"/>
        </w:rPr>
        <w:br/>
        <w:t xml:space="preserve">The District will not enroll nonresident students in summer programs funded entirely by federal funds unless there is an </w:t>
      </w:r>
      <w:proofErr w:type="spellStart"/>
      <w:r>
        <w:rPr>
          <w:rFonts w:ascii="Lato" w:eastAsia="Times New Roman" w:hAnsi="Lato"/>
        </w:rPr>
        <w:t>interdistrict</w:t>
      </w:r>
      <w:proofErr w:type="spellEnd"/>
      <w:r>
        <w:rPr>
          <w:rFonts w:ascii="Lato" w:eastAsia="Times New Roman" w:hAnsi="Lato"/>
        </w:rPr>
        <w:t xml:space="preserve"> agreement to provide those services.</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r>
        <w:rPr>
          <w:rFonts w:ascii="Lato" w:eastAsia="Times New Roman" w:hAnsi="Lato"/>
        </w:rPr>
        <w:t>Foreign exchange students living within the boundaries of the Distri</w:t>
      </w:r>
      <w:r>
        <w:rPr>
          <w:rFonts w:ascii="Lato" w:eastAsia="Times New Roman" w:hAnsi="Lato"/>
        </w:rPr>
        <w:t xml:space="preserve">ct who have obtained a J-1 visa and who </w:t>
      </w:r>
      <w:proofErr w:type="gramStart"/>
      <w:r>
        <w:rPr>
          <w:rFonts w:ascii="Lato" w:eastAsia="Times New Roman" w:hAnsi="Lato"/>
        </w:rPr>
        <w:t>are sponsored</w:t>
      </w:r>
      <w:proofErr w:type="gramEnd"/>
      <w:r>
        <w:rPr>
          <w:rFonts w:ascii="Lato" w:eastAsia="Times New Roman" w:hAnsi="Lato"/>
        </w:rPr>
        <w:t xml:space="preserve"> by an organization listed on the Council on Standards for International Educational Travel (CSIET) Advisory List will be allowed to enroll in the District. Such enrollment </w:t>
      </w:r>
      <w:proofErr w:type="gramStart"/>
      <w:r>
        <w:rPr>
          <w:rFonts w:ascii="Lato" w:eastAsia="Times New Roman" w:hAnsi="Lato"/>
        </w:rPr>
        <w:t>will be conditioned</w:t>
      </w:r>
      <w:proofErr w:type="gramEnd"/>
      <w:r>
        <w:rPr>
          <w:rFonts w:ascii="Lato" w:eastAsia="Times New Roman" w:hAnsi="Lato"/>
        </w:rPr>
        <w:t xml:space="preserve"> upon appro</w:t>
      </w:r>
      <w:r>
        <w:rPr>
          <w:rFonts w:ascii="Lato" w:eastAsia="Times New Roman" w:hAnsi="Lato"/>
        </w:rPr>
        <w:t>val of the superintendent and in accordance with procedures set forth by the superintendent or designee. The board of education reserves the right to limit the number of foreign exchange students enrolled in a given year. Attendance by foreign exchange stu</w:t>
      </w:r>
      <w:r>
        <w:rPr>
          <w:rFonts w:ascii="Lato" w:eastAsia="Times New Roman" w:hAnsi="Lato"/>
        </w:rPr>
        <w:t>dents is a privilege, not a right.</w:t>
      </w:r>
      <w:r>
        <w:rPr>
          <w:rFonts w:ascii="Lato" w:eastAsia="Times New Roman" w:hAnsi="Lato"/>
        </w:rPr>
        <w:br/>
        <w:t> </w:t>
      </w:r>
    </w:p>
    <w:p w:rsidR="00000000" w:rsidRDefault="003074DC">
      <w:pPr>
        <w:numPr>
          <w:ilvl w:val="0"/>
          <w:numId w:val="4"/>
        </w:numPr>
        <w:spacing w:before="100" w:beforeAutospacing="1" w:after="100" w:afterAutospacing="1" w:line="240" w:lineRule="auto"/>
        <w:divId w:val="1443383649"/>
        <w:rPr>
          <w:rFonts w:ascii="Lato" w:eastAsia="Times New Roman" w:hAnsi="Lato"/>
        </w:rPr>
      </w:pPr>
      <w:proofErr w:type="gramStart"/>
      <w:r>
        <w:rPr>
          <w:rFonts w:ascii="Lato" w:eastAsia="Times New Roman" w:hAnsi="Lato"/>
        </w:rPr>
        <w:t xml:space="preserve">Children residing in institutions located within the District that provide a place of residence for three or more such children whose domicile is not in the state of Missouri may be admitted pursuant to a </w:t>
      </w:r>
      <w:r>
        <w:rPr>
          <w:rFonts w:ascii="Lato" w:eastAsia="Times New Roman" w:hAnsi="Lato"/>
        </w:rPr>
        <w:lastRenderedPageBreak/>
        <w:t>contractual ar</w:t>
      </w:r>
      <w:r>
        <w:rPr>
          <w:rFonts w:ascii="Lato" w:eastAsia="Times New Roman" w:hAnsi="Lato"/>
        </w:rPr>
        <w:t xml:space="preserve">rangement, provided that the District, its taxpayers, the state of Missouri, or its political subdivisions bear no financial burden as a result of the placement (§ 167.126, </w:t>
      </w:r>
      <w:proofErr w:type="spellStart"/>
      <w:r>
        <w:rPr>
          <w:rFonts w:ascii="Lato" w:eastAsia="Times New Roman" w:hAnsi="Lato"/>
        </w:rPr>
        <w:t>RSMo</w:t>
      </w:r>
      <w:proofErr w:type="spellEnd"/>
      <w:r>
        <w:rPr>
          <w:rFonts w:ascii="Lato" w:eastAsia="Times New Roman" w:hAnsi="Lato"/>
        </w:rPr>
        <w:t>.).</w:t>
      </w:r>
      <w:proofErr w:type="gramEnd"/>
    </w:p>
    <w:p w:rsidR="00000000" w:rsidRDefault="003074DC">
      <w:pPr>
        <w:pStyle w:val="Heading3"/>
        <w:divId w:val="1443383649"/>
        <w:rPr>
          <w:rFonts w:ascii="Lato" w:eastAsia="Times New Roman" w:hAnsi="Lato"/>
        </w:rPr>
      </w:pPr>
      <w:r>
        <w:rPr>
          <w:rFonts w:ascii="Lato" w:eastAsia="Times New Roman" w:hAnsi="Lato"/>
        </w:rPr>
        <w:t>Tuition</w:t>
      </w:r>
    </w:p>
    <w:p w:rsidR="00000000" w:rsidRDefault="003074DC">
      <w:pPr>
        <w:divId w:val="1443383649"/>
        <w:rPr>
          <w:rFonts w:ascii="Lato" w:eastAsia="Times New Roman" w:hAnsi="Lato"/>
        </w:rPr>
      </w:pPr>
      <w:r>
        <w:rPr>
          <w:rFonts w:ascii="Lato" w:eastAsia="Times New Roman" w:hAnsi="Lato"/>
        </w:rPr>
        <w:br/>
        <w:t>The District or the State Board will determine the amount of tuiti</w:t>
      </w:r>
      <w:r>
        <w:rPr>
          <w:rFonts w:ascii="Lato" w:eastAsia="Times New Roman" w:hAnsi="Lato"/>
        </w:rPr>
        <w:t xml:space="preserve">on, when referenced in this policy, in accordance with law and policy DFI. </w:t>
      </w:r>
    </w:p>
    <w:p w:rsidR="00000000" w:rsidRDefault="003074DC">
      <w:pPr>
        <w:pStyle w:val="Heading3"/>
        <w:divId w:val="1443383649"/>
        <w:rPr>
          <w:rFonts w:ascii="Lato" w:eastAsia="Times New Roman" w:hAnsi="Lato"/>
        </w:rPr>
      </w:pPr>
      <w:r>
        <w:rPr>
          <w:rFonts w:ascii="Lato" w:eastAsia="Times New Roman" w:hAnsi="Lato"/>
        </w:rPr>
        <w:t>Removal of Students Ineligible to Attend</w:t>
      </w:r>
    </w:p>
    <w:p w:rsidR="00000000" w:rsidRDefault="003074DC">
      <w:pPr>
        <w:divId w:val="1443383649"/>
        <w:rPr>
          <w:rFonts w:ascii="Lato" w:eastAsia="Times New Roman" w:hAnsi="Lato"/>
        </w:rPr>
      </w:pPr>
      <w:r>
        <w:rPr>
          <w:rFonts w:ascii="Lato" w:eastAsia="Times New Roman" w:hAnsi="Lato"/>
        </w:rPr>
        <w:br/>
      </w:r>
      <w:r>
        <w:rPr>
          <w:rFonts w:ascii="Lato" w:eastAsia="Times New Roman" w:hAnsi="Lato"/>
        </w:rPr>
        <w:t xml:space="preserve">The superintendent or designee will investigate any information the District receives indicating that a student is not a resident of the District or not otherwise entitled to attend the District in accordance with law or this policy. </w:t>
      </w:r>
      <w:proofErr w:type="gramStart"/>
      <w:r>
        <w:rPr>
          <w:rFonts w:ascii="Lato" w:eastAsia="Times New Roman" w:hAnsi="Lato"/>
        </w:rPr>
        <w:t xml:space="preserve">If the superintendent </w:t>
      </w:r>
      <w:r>
        <w:rPr>
          <w:rFonts w:ascii="Lato" w:eastAsia="Times New Roman" w:hAnsi="Lato"/>
        </w:rPr>
        <w:t>or designee determines after the investigation that the student is not a resident of the District and is not otherwise entitled to enroll in and attend the District in accordance with law and the District's policy, the District will notify the student's pa</w:t>
      </w:r>
      <w:r>
        <w:rPr>
          <w:rFonts w:ascii="Lato" w:eastAsia="Times New Roman" w:hAnsi="Lato"/>
        </w:rPr>
        <w:t>rents/guardians, ask them to withdraw the student by a specific date, and offer the parents/guardians a hearing.</w:t>
      </w:r>
      <w:proofErr w:type="gramEnd"/>
      <w:r>
        <w:rPr>
          <w:rFonts w:ascii="Lato" w:eastAsia="Times New Roman" w:hAnsi="Lato"/>
        </w:rPr>
        <w:t xml:space="preserve"> If the parents/guardians do not request a hearing by the specified deadline and do not withdraw the student, the District will formally remove </w:t>
      </w:r>
      <w:r>
        <w:rPr>
          <w:rFonts w:ascii="Lato" w:eastAsia="Times New Roman" w:hAnsi="Lato"/>
        </w:rPr>
        <w:t>the student from its rolls and notify the parents/guardians that the student may no longer attend school in the District.</w:t>
      </w:r>
      <w:r>
        <w:rPr>
          <w:rFonts w:ascii="Lato" w:eastAsia="Times New Roman" w:hAnsi="Lato"/>
        </w:rPr>
        <w:br/>
      </w:r>
      <w:r>
        <w:rPr>
          <w:rFonts w:ascii="Lato" w:eastAsia="Times New Roman" w:hAnsi="Lato"/>
        </w:rPr>
        <w:br/>
        <w:t>Unless otherwise prohibited by law, the District may exclude students from the District's education programs for failure to pay tuiti</w:t>
      </w:r>
      <w:r>
        <w:rPr>
          <w:rFonts w:ascii="Lato" w:eastAsia="Times New Roman" w:hAnsi="Lato"/>
        </w:rPr>
        <w:t xml:space="preserve">on after the responsible party </w:t>
      </w:r>
      <w:proofErr w:type="gramStart"/>
      <w:r>
        <w:rPr>
          <w:rFonts w:ascii="Lato" w:eastAsia="Times New Roman" w:hAnsi="Lato"/>
        </w:rPr>
        <w:t>is notified of the delinquency and given a reasonable amount of time to pay the District</w:t>
      </w:r>
      <w:proofErr w:type="gramEnd"/>
      <w:r>
        <w:rPr>
          <w:rFonts w:ascii="Lato" w:eastAsia="Times New Roman" w:hAnsi="Lato"/>
        </w:rPr>
        <w:t xml:space="preserve">. </w:t>
      </w:r>
    </w:p>
    <w:p w:rsidR="00000000" w:rsidRDefault="003074DC">
      <w:pPr>
        <w:pStyle w:val="Heading3"/>
        <w:divId w:val="1443383649"/>
        <w:rPr>
          <w:rFonts w:ascii="Lato" w:eastAsia="Times New Roman" w:hAnsi="Lato"/>
        </w:rPr>
      </w:pPr>
      <w:r>
        <w:rPr>
          <w:rFonts w:ascii="Lato" w:eastAsia="Times New Roman" w:hAnsi="Lato"/>
        </w:rPr>
        <w:t>Educational Larceny</w:t>
      </w:r>
    </w:p>
    <w:p w:rsidR="00000000" w:rsidRDefault="003074DC">
      <w:pPr>
        <w:divId w:val="1443383649"/>
        <w:rPr>
          <w:rFonts w:ascii="Lato" w:eastAsia="Times New Roman" w:hAnsi="Lato"/>
        </w:rPr>
      </w:pPr>
      <w:r>
        <w:rPr>
          <w:rFonts w:ascii="Lato" w:eastAsia="Times New Roman" w:hAnsi="Lato"/>
        </w:rPr>
        <w:br/>
        <w:t>It is a crime to provide the District false information regarding residency. The board authorizes the superintend</w:t>
      </w:r>
      <w:r>
        <w:rPr>
          <w:rFonts w:ascii="Lato" w:eastAsia="Times New Roman" w:hAnsi="Lato"/>
        </w:rPr>
        <w:t xml:space="preserve">ent or designee to make a criminal complaint and pursue civil recourse against any person who fraudulently claims or attempts </w:t>
      </w:r>
      <w:proofErr w:type="gramStart"/>
      <w:r>
        <w:rPr>
          <w:rFonts w:ascii="Lato" w:eastAsia="Times New Roman" w:hAnsi="Lato"/>
        </w:rPr>
        <w:t>to fraudulently claim</w:t>
      </w:r>
      <w:proofErr w:type="gramEnd"/>
      <w:r>
        <w:rPr>
          <w:rFonts w:ascii="Lato" w:eastAsia="Times New Roman" w:hAnsi="Lato"/>
        </w:rPr>
        <w:t xml:space="preserve"> residency in the District.</w:t>
      </w:r>
      <w:r>
        <w:rPr>
          <w:rFonts w:ascii="Lato" w:eastAsia="Times New Roman" w:hAnsi="Lato"/>
        </w:rPr>
        <w:br/>
      </w:r>
      <w:r>
        <w:rPr>
          <w:rFonts w:ascii="Lato" w:eastAsia="Times New Roman" w:hAnsi="Lato"/>
        </w:rPr>
        <w:br/>
      </w:r>
      <w:r>
        <w:rPr>
          <w:rFonts w:ascii="Lato" w:eastAsia="Times New Roman" w:hAnsi="Lato"/>
          <w:sz w:val="17"/>
          <w:szCs w:val="17"/>
        </w:rPr>
        <w:t>© 2024, Missouri School Boards' Association</w:t>
      </w:r>
      <w:r>
        <w:rPr>
          <w:rFonts w:ascii="Lato" w:eastAsia="Times New Roman" w:hAnsi="Lato"/>
          <w:sz w:val="17"/>
          <w:szCs w:val="17"/>
        </w:rPr>
        <w:br/>
        <w:t>Version JECA-1C.1O (05/24)</w:t>
      </w:r>
      <w:r>
        <w:rPr>
          <w:rFonts w:ascii="Lato" w:eastAsia="Times New Roman" w:hAnsi="Lato"/>
        </w:rPr>
        <w:t xml:space="preserve"> </w:t>
      </w:r>
    </w:p>
    <w:p w:rsidR="00706B43" w:rsidRDefault="00706B43">
      <w:pPr>
        <w:pBdr>
          <w:bottom w:val="single" w:sz="5" w:space="1" w:color="auto"/>
        </w:pBdr>
      </w:pPr>
    </w:p>
    <w:p w:rsidR="00000000" w:rsidRDefault="003074DC">
      <w:pPr>
        <w:divId w:val="580531124"/>
        <w:rPr>
          <w:rFonts w:ascii="Lato" w:eastAsia="Times New Roman" w:hAnsi="Lato"/>
        </w:rPr>
      </w:pPr>
      <w:r>
        <w:rPr>
          <w:rFonts w:ascii="Lato" w:eastAsia="Times New Roman" w:hAnsi="Lato"/>
        </w:rPr>
        <w:t> </w:t>
      </w:r>
    </w:p>
    <w:p w:rsidR="00000000" w:rsidRDefault="003074DC">
      <w:pPr>
        <w:pStyle w:val="Heading2"/>
        <w:shd w:val="clear" w:color="auto" w:fill="FFFFFF"/>
        <w:spacing w:before="0" w:beforeAutospacing="0" w:after="0" w:afterAutospacing="0"/>
        <w:textAlignment w:val="baseline"/>
        <w:divId w:val="164149640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3074DC">
      <w:pPr>
        <w:divId w:val="164149640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06B43">
        <w:tblPrEx>
          <w:tblCellMar>
            <w:top w:w="0" w:type="dxa"/>
            <w:bottom w:w="0" w:type="dxa"/>
          </w:tblCellMar>
        </w:tblPrEx>
        <w:tc>
          <w:tcPr>
            <w:tcW w:w="4017" w:type="dxa"/>
          </w:tcPr>
          <w:p w:rsidR="00706B43" w:rsidRDefault="003074DC">
            <w:pPr>
              <w:spacing w:after="0"/>
            </w:pPr>
            <w:r>
              <w:rPr>
                <w:rFonts w:ascii="Lato Black"/>
                <w:b/>
              </w:rPr>
              <w:t>State</w:t>
            </w:r>
          </w:p>
        </w:tc>
        <w:tc>
          <w:tcPr>
            <w:tcW w:w="5961" w:type="dxa"/>
          </w:tcPr>
          <w:p w:rsidR="00706B43" w:rsidRDefault="003074DC">
            <w:pPr>
              <w:spacing w:after="0"/>
            </w:pPr>
            <w:r>
              <w:rPr>
                <w:rFonts w:ascii="Lato Black"/>
                <w:b/>
              </w:rPr>
              <w:t>Description</w:t>
            </w:r>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160.2000, </w:t>
            </w:r>
            <w:proofErr w:type="spellStart"/>
            <w:r>
              <w:rPr>
                <w:rFonts w:ascii="Lato"/>
              </w:rPr>
              <w:t>RSMo</w:t>
            </w:r>
            <w:proofErr w:type="spellEnd"/>
            <w:r>
              <w:rPr>
                <w:rFonts w:ascii="Lato"/>
              </w:rPr>
              <w:t>.</w:t>
            </w:r>
          </w:p>
        </w:tc>
        <w:tc>
          <w:tcPr>
            <w:tcW w:w="5961" w:type="dxa"/>
          </w:tcPr>
          <w:p w:rsidR="00706B43" w:rsidRDefault="003074DC">
            <w:hyperlink r:id="rId5"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163.011, </w:t>
            </w:r>
            <w:proofErr w:type="spellStart"/>
            <w:r>
              <w:rPr>
                <w:rFonts w:ascii="Lato"/>
              </w:rPr>
              <w:t>RSMo</w:t>
            </w:r>
            <w:proofErr w:type="spellEnd"/>
            <w:r>
              <w:rPr>
                <w:rFonts w:ascii="Lato"/>
              </w:rPr>
              <w:t>.</w:t>
            </w:r>
          </w:p>
        </w:tc>
        <w:tc>
          <w:tcPr>
            <w:tcW w:w="5961" w:type="dxa"/>
          </w:tcPr>
          <w:p w:rsidR="00706B43" w:rsidRDefault="003074DC">
            <w:hyperlink r:id="rId6"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167.019, </w:t>
            </w:r>
            <w:proofErr w:type="spellStart"/>
            <w:r>
              <w:rPr>
                <w:rFonts w:ascii="Lato"/>
              </w:rPr>
              <w:t>RSMo</w:t>
            </w:r>
            <w:proofErr w:type="spellEnd"/>
            <w:r>
              <w:rPr>
                <w:rFonts w:ascii="Lato"/>
              </w:rPr>
              <w:t>.</w:t>
            </w:r>
          </w:p>
        </w:tc>
        <w:tc>
          <w:tcPr>
            <w:tcW w:w="5961" w:type="dxa"/>
          </w:tcPr>
          <w:p w:rsidR="00706B43" w:rsidRDefault="003074DC">
            <w:hyperlink r:id="rId7"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167.020, </w:t>
            </w:r>
            <w:proofErr w:type="spellStart"/>
            <w:r>
              <w:rPr>
                <w:rFonts w:ascii="Lato"/>
              </w:rPr>
              <w:t>RSMo</w:t>
            </w:r>
            <w:proofErr w:type="spellEnd"/>
            <w:r>
              <w:rPr>
                <w:rFonts w:ascii="Lato"/>
              </w:rPr>
              <w:t>.</w:t>
            </w:r>
          </w:p>
        </w:tc>
        <w:tc>
          <w:tcPr>
            <w:tcW w:w="5961" w:type="dxa"/>
          </w:tcPr>
          <w:p w:rsidR="00706B43" w:rsidRDefault="003074DC">
            <w:hyperlink r:id="rId8"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w:t>
            </w:r>
            <w:r>
              <w:rPr>
                <w:rFonts w:ascii="Lato"/>
              </w:rPr>
              <w:t xml:space="preserve">67.022, </w:t>
            </w:r>
            <w:proofErr w:type="spellStart"/>
            <w:r>
              <w:rPr>
                <w:rFonts w:ascii="Lato"/>
              </w:rPr>
              <w:t>RSMo</w:t>
            </w:r>
            <w:proofErr w:type="spellEnd"/>
            <w:r>
              <w:rPr>
                <w:rFonts w:ascii="Lato"/>
              </w:rPr>
              <w:t>.</w:t>
            </w:r>
          </w:p>
        </w:tc>
        <w:tc>
          <w:tcPr>
            <w:tcW w:w="5961" w:type="dxa"/>
          </w:tcPr>
          <w:p w:rsidR="00706B43" w:rsidRDefault="003074DC">
            <w:hyperlink r:id="rId9"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167.027, </w:t>
            </w:r>
            <w:proofErr w:type="spellStart"/>
            <w:r>
              <w:rPr>
                <w:rFonts w:ascii="Lato"/>
              </w:rPr>
              <w:t>RSMo</w:t>
            </w:r>
            <w:proofErr w:type="spellEnd"/>
            <w:r>
              <w:rPr>
                <w:rFonts w:ascii="Lato"/>
              </w:rPr>
              <w:t>.</w:t>
            </w:r>
          </w:p>
        </w:tc>
        <w:tc>
          <w:tcPr>
            <w:tcW w:w="5961" w:type="dxa"/>
          </w:tcPr>
          <w:p w:rsidR="00706B43" w:rsidRDefault="003074DC">
            <w:hyperlink r:id="rId10" w:docLocation="https://revisor.mo.gov/main/Home.aspx">
              <w:r>
                <w:rPr>
                  <w:rFonts w:ascii="Lato"/>
                  <w:color w:val="0563C1" w:themeColor="hyperlink"/>
                  <w:u w:val="single"/>
                </w:rPr>
                <w:t>State Stat</w:t>
              </w:r>
              <w:r>
                <w:rPr>
                  <w:rFonts w:ascii="Lato"/>
                  <w:color w:val="0563C1" w:themeColor="hyperlink"/>
                  <w:u w:val="single"/>
                </w:rPr>
                <w: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167.121, </w:t>
            </w:r>
            <w:proofErr w:type="spellStart"/>
            <w:r>
              <w:rPr>
                <w:rFonts w:ascii="Lato"/>
              </w:rPr>
              <w:t>RSMo</w:t>
            </w:r>
            <w:proofErr w:type="spellEnd"/>
            <w:r>
              <w:rPr>
                <w:rFonts w:ascii="Lato"/>
              </w:rPr>
              <w:t>.</w:t>
            </w:r>
          </w:p>
        </w:tc>
        <w:tc>
          <w:tcPr>
            <w:tcW w:w="5961" w:type="dxa"/>
          </w:tcPr>
          <w:p w:rsidR="00706B43" w:rsidRDefault="003074DC">
            <w:hyperlink r:id="rId11"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lastRenderedPageBreak/>
              <w:t>§</w:t>
            </w:r>
            <w:r>
              <w:rPr>
                <w:rFonts w:ascii="Lato"/>
              </w:rPr>
              <w:t xml:space="preserve"> 167.126, </w:t>
            </w:r>
            <w:proofErr w:type="spellStart"/>
            <w:r>
              <w:rPr>
                <w:rFonts w:ascii="Lato"/>
              </w:rPr>
              <w:t>RSMo</w:t>
            </w:r>
            <w:proofErr w:type="spellEnd"/>
            <w:r>
              <w:rPr>
                <w:rFonts w:ascii="Lato"/>
              </w:rPr>
              <w:t>.</w:t>
            </w:r>
          </w:p>
        </w:tc>
        <w:tc>
          <w:tcPr>
            <w:tcW w:w="5961" w:type="dxa"/>
          </w:tcPr>
          <w:p w:rsidR="00706B43" w:rsidRDefault="003074DC">
            <w:hyperlink r:id="rId12"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167.131, </w:t>
            </w:r>
            <w:proofErr w:type="spellStart"/>
            <w:r>
              <w:rPr>
                <w:rFonts w:ascii="Lato"/>
              </w:rPr>
              <w:t>RSMo</w:t>
            </w:r>
            <w:proofErr w:type="spellEnd"/>
            <w:r>
              <w:rPr>
                <w:rFonts w:ascii="Lato"/>
              </w:rPr>
              <w:t>.</w:t>
            </w:r>
          </w:p>
        </w:tc>
        <w:tc>
          <w:tcPr>
            <w:tcW w:w="5961" w:type="dxa"/>
          </w:tcPr>
          <w:p w:rsidR="00706B43" w:rsidRDefault="003074DC">
            <w:hyperlink r:id="rId13"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167.151, </w:t>
            </w:r>
            <w:proofErr w:type="spellStart"/>
            <w:r>
              <w:rPr>
                <w:rFonts w:ascii="Lato"/>
              </w:rPr>
              <w:t>RSMo</w:t>
            </w:r>
            <w:proofErr w:type="spellEnd"/>
            <w:r>
              <w:rPr>
                <w:rFonts w:ascii="Lato"/>
              </w:rPr>
              <w:t>.</w:t>
            </w:r>
          </w:p>
        </w:tc>
        <w:tc>
          <w:tcPr>
            <w:tcW w:w="5961" w:type="dxa"/>
          </w:tcPr>
          <w:p w:rsidR="00706B43" w:rsidRDefault="003074DC">
            <w:hyperlink r:id="rId14"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167.227, </w:t>
            </w:r>
            <w:proofErr w:type="spellStart"/>
            <w:r>
              <w:rPr>
                <w:rFonts w:ascii="Lato"/>
              </w:rPr>
              <w:t>RSMo</w:t>
            </w:r>
            <w:proofErr w:type="spellEnd"/>
            <w:r>
              <w:rPr>
                <w:rFonts w:ascii="Lato"/>
              </w:rPr>
              <w:t>.</w:t>
            </w:r>
          </w:p>
        </w:tc>
        <w:tc>
          <w:tcPr>
            <w:tcW w:w="5961" w:type="dxa"/>
          </w:tcPr>
          <w:p w:rsidR="00706B43" w:rsidRDefault="003074DC">
            <w:hyperlink r:id="rId15"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167.895, </w:t>
            </w:r>
            <w:proofErr w:type="spellStart"/>
            <w:r>
              <w:rPr>
                <w:rFonts w:ascii="Lato"/>
              </w:rPr>
              <w:t>RSMo</w:t>
            </w:r>
            <w:proofErr w:type="spellEnd"/>
            <w:r>
              <w:rPr>
                <w:rFonts w:ascii="Lato"/>
              </w:rPr>
              <w:t>.</w:t>
            </w:r>
          </w:p>
        </w:tc>
        <w:tc>
          <w:tcPr>
            <w:tcW w:w="5961" w:type="dxa"/>
          </w:tcPr>
          <w:p w:rsidR="00706B43" w:rsidRDefault="003074DC">
            <w:hyperlink r:id="rId16"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167.898, </w:t>
            </w:r>
            <w:proofErr w:type="spellStart"/>
            <w:r>
              <w:rPr>
                <w:rFonts w:ascii="Lato"/>
              </w:rPr>
              <w:t>RSMo</w:t>
            </w:r>
            <w:proofErr w:type="spellEnd"/>
            <w:r>
              <w:rPr>
                <w:rFonts w:ascii="Lato"/>
              </w:rPr>
              <w:t>.</w:t>
            </w:r>
          </w:p>
        </w:tc>
        <w:tc>
          <w:tcPr>
            <w:tcW w:w="5961" w:type="dxa"/>
          </w:tcPr>
          <w:p w:rsidR="00706B43" w:rsidRDefault="003074DC">
            <w:hyperlink r:id="rId17"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w:t>
            </w:r>
            <w:r>
              <w:rPr>
                <w:rFonts w:ascii="Lato"/>
              </w:rPr>
              <w:t xml:space="preserve">68.151, </w:t>
            </w:r>
            <w:proofErr w:type="spellStart"/>
            <w:r>
              <w:rPr>
                <w:rFonts w:ascii="Lato"/>
              </w:rPr>
              <w:t>RSMo</w:t>
            </w:r>
            <w:proofErr w:type="spellEnd"/>
            <w:r>
              <w:rPr>
                <w:rFonts w:ascii="Lato"/>
              </w:rPr>
              <w:t>.</w:t>
            </w:r>
          </w:p>
        </w:tc>
        <w:tc>
          <w:tcPr>
            <w:tcW w:w="5961" w:type="dxa"/>
          </w:tcPr>
          <w:p w:rsidR="00706B43" w:rsidRDefault="003074DC">
            <w:hyperlink r:id="rId18"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210.1360, </w:t>
            </w:r>
            <w:proofErr w:type="spellStart"/>
            <w:r>
              <w:rPr>
                <w:rFonts w:ascii="Lato"/>
              </w:rPr>
              <w:t>RSMo</w:t>
            </w:r>
            <w:proofErr w:type="spellEnd"/>
            <w:r>
              <w:rPr>
                <w:rFonts w:ascii="Lato"/>
              </w:rPr>
              <w:t>.</w:t>
            </w:r>
          </w:p>
        </w:tc>
        <w:tc>
          <w:tcPr>
            <w:tcW w:w="5961" w:type="dxa"/>
          </w:tcPr>
          <w:p w:rsidR="00706B43" w:rsidRDefault="003074DC">
            <w:hyperlink r:id="rId19" w:docLocation="https://revisor.mo.gov/main/Home.aspx">
              <w:r>
                <w:rPr>
                  <w:rFonts w:ascii="Lato"/>
                  <w:color w:val="0563C1" w:themeColor="hyperlink"/>
                  <w:u w:val="single"/>
                </w:rPr>
                <w:t xml:space="preserve">State </w:t>
              </w:r>
              <w:r>
                <w:rPr>
                  <w:rFonts w:ascii="Lato"/>
                  <w:color w:val="0563C1" w:themeColor="hyperlink"/>
                  <w:u w:val="single"/>
                </w:rPr>
                <w:t>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431.058, </w:t>
            </w:r>
            <w:proofErr w:type="spellStart"/>
            <w:r>
              <w:rPr>
                <w:rFonts w:ascii="Lato"/>
              </w:rPr>
              <w:t>RSMo</w:t>
            </w:r>
            <w:proofErr w:type="spellEnd"/>
            <w:r>
              <w:rPr>
                <w:rFonts w:ascii="Lato"/>
              </w:rPr>
              <w:t>.</w:t>
            </w:r>
          </w:p>
        </w:tc>
        <w:tc>
          <w:tcPr>
            <w:tcW w:w="5961" w:type="dxa"/>
          </w:tcPr>
          <w:p w:rsidR="00706B43" w:rsidRDefault="003074DC">
            <w:hyperlink r:id="rId20"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475.060, </w:t>
            </w:r>
            <w:proofErr w:type="spellStart"/>
            <w:r>
              <w:rPr>
                <w:rFonts w:ascii="Lato"/>
              </w:rPr>
              <w:t>RSMo</w:t>
            </w:r>
            <w:proofErr w:type="spellEnd"/>
            <w:r>
              <w:rPr>
                <w:rFonts w:ascii="Lato"/>
              </w:rPr>
              <w:t>.</w:t>
            </w:r>
          </w:p>
        </w:tc>
        <w:tc>
          <w:tcPr>
            <w:tcW w:w="5961" w:type="dxa"/>
          </w:tcPr>
          <w:p w:rsidR="00706B43" w:rsidRDefault="003074DC">
            <w:hyperlink r:id="rId21"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w:t>
            </w:r>
            <w:r>
              <w:rPr>
                <w:rFonts w:ascii="Lato"/>
              </w:rPr>
              <w:t xml:space="preserve"> 162.1040-.1059, </w:t>
            </w:r>
            <w:proofErr w:type="spellStart"/>
            <w:r>
              <w:rPr>
                <w:rFonts w:ascii="Lato"/>
              </w:rPr>
              <w:t>RSMo</w:t>
            </w:r>
            <w:proofErr w:type="spellEnd"/>
            <w:r>
              <w:rPr>
                <w:rFonts w:ascii="Lato"/>
              </w:rPr>
              <w:t>.</w:t>
            </w:r>
          </w:p>
        </w:tc>
        <w:tc>
          <w:tcPr>
            <w:tcW w:w="5961" w:type="dxa"/>
          </w:tcPr>
          <w:p w:rsidR="00706B43" w:rsidRDefault="003074DC">
            <w:hyperlink r:id="rId22" w:docLocation="https://revisor.mo.gov/main/Home.aspx">
              <w:r>
                <w:rPr>
                  <w:rFonts w:ascii="Lato"/>
                  <w:color w:val="0563C1" w:themeColor="hyperlink"/>
                  <w:u w:val="single"/>
                </w:rPr>
                <w:t>State Statute</w:t>
              </w:r>
            </w:hyperlink>
          </w:p>
        </w:tc>
      </w:tr>
      <w:tr w:rsidR="00706B43">
        <w:tblPrEx>
          <w:tblCellMar>
            <w:top w:w="0" w:type="dxa"/>
            <w:bottom w:w="0" w:type="dxa"/>
          </w:tblCellMar>
        </w:tblPrEx>
        <w:tc>
          <w:tcPr>
            <w:tcW w:w="4017" w:type="dxa"/>
          </w:tcPr>
          <w:p w:rsidR="00706B43" w:rsidRDefault="003074DC">
            <w:pPr>
              <w:spacing w:after="0"/>
            </w:pPr>
            <w:r>
              <w:rPr>
                <w:rFonts w:ascii="Lato"/>
              </w:rPr>
              <w:t>MO COURT</w:t>
            </w:r>
          </w:p>
        </w:tc>
        <w:tc>
          <w:tcPr>
            <w:tcW w:w="5961" w:type="dxa"/>
          </w:tcPr>
          <w:p w:rsidR="00706B43" w:rsidRDefault="003074DC">
            <w:hyperlink r:id="rId23" w:docLocation="https://www.courts.mo.gov/">
              <w:r>
                <w:rPr>
                  <w:rFonts w:ascii="Lato"/>
                  <w:color w:val="0563C1" w:themeColor="hyperlink"/>
                  <w:u w:val="single"/>
                </w:rPr>
                <w:t>Blue Springs</w:t>
              </w:r>
              <w:r>
                <w:rPr>
                  <w:rFonts w:ascii="Lato"/>
                  <w:color w:val="0563C1" w:themeColor="hyperlink"/>
                  <w:u w:val="single"/>
                </w:rPr>
                <w:t xml:space="preserve"> R-IV Sch. Dist. v. Sch. Dist. of Kansas City, 415 S.W.3d 110 (Mo. banc 2013)</w:t>
              </w:r>
            </w:hyperlink>
          </w:p>
        </w:tc>
      </w:tr>
      <w:tr w:rsidR="00706B43">
        <w:tblPrEx>
          <w:tblCellMar>
            <w:top w:w="0" w:type="dxa"/>
            <w:bottom w:w="0" w:type="dxa"/>
          </w:tblCellMar>
        </w:tblPrEx>
        <w:tc>
          <w:tcPr>
            <w:tcW w:w="4017" w:type="dxa"/>
          </w:tcPr>
          <w:p w:rsidR="00706B43" w:rsidRDefault="003074DC">
            <w:pPr>
              <w:spacing w:after="0"/>
            </w:pPr>
            <w:r>
              <w:rPr>
                <w:rFonts w:ascii="Lato"/>
              </w:rPr>
              <w:t>MO COURT</w:t>
            </w:r>
          </w:p>
        </w:tc>
        <w:tc>
          <w:tcPr>
            <w:tcW w:w="5961" w:type="dxa"/>
          </w:tcPr>
          <w:p w:rsidR="00706B43" w:rsidRDefault="003074DC">
            <w:hyperlink r:id="rId24" w:docLocation="https://www.courts.mo.gov/">
              <w:proofErr w:type="spellStart"/>
              <w:r>
                <w:rPr>
                  <w:rFonts w:ascii="Lato"/>
                  <w:color w:val="0563C1" w:themeColor="hyperlink"/>
                  <w:u w:val="single"/>
                </w:rPr>
                <w:t>Breitenfeld</w:t>
              </w:r>
              <w:proofErr w:type="spellEnd"/>
              <w:r>
                <w:rPr>
                  <w:rFonts w:ascii="Lato"/>
                  <w:color w:val="0563C1" w:themeColor="hyperlink"/>
                  <w:u w:val="single"/>
                </w:rPr>
                <w:t xml:space="preserve"> v. Sch. Dist. of Clayton, 399 S.W.3d 816 (Mo. 2013)</w:t>
              </w:r>
            </w:hyperlink>
          </w:p>
        </w:tc>
      </w:tr>
      <w:tr w:rsidR="00706B43">
        <w:tblPrEx>
          <w:tblCellMar>
            <w:top w:w="0" w:type="dxa"/>
            <w:bottom w:w="0" w:type="dxa"/>
          </w:tblCellMar>
        </w:tblPrEx>
        <w:tc>
          <w:tcPr>
            <w:tcW w:w="4017" w:type="dxa"/>
          </w:tcPr>
          <w:p w:rsidR="00706B43" w:rsidRDefault="003074DC">
            <w:pPr>
              <w:spacing w:after="0"/>
            </w:pPr>
            <w:r>
              <w:rPr>
                <w:rFonts w:ascii="Lato Black"/>
                <w:b/>
              </w:rPr>
              <w:t>Federal</w:t>
            </w:r>
          </w:p>
        </w:tc>
        <w:tc>
          <w:tcPr>
            <w:tcW w:w="5961" w:type="dxa"/>
          </w:tcPr>
          <w:p w:rsidR="00706B43" w:rsidRDefault="003074DC">
            <w:pPr>
              <w:spacing w:after="0"/>
            </w:pPr>
            <w:r>
              <w:rPr>
                <w:rFonts w:ascii="Lato Black"/>
                <w:b/>
              </w:rPr>
              <w:t>Description</w:t>
            </w:r>
          </w:p>
        </w:tc>
      </w:tr>
      <w:tr w:rsidR="00706B43">
        <w:tblPrEx>
          <w:tblCellMar>
            <w:top w:w="0" w:type="dxa"/>
            <w:bottom w:w="0" w:type="dxa"/>
          </w:tblCellMar>
        </w:tblPrEx>
        <w:tc>
          <w:tcPr>
            <w:tcW w:w="4017" w:type="dxa"/>
          </w:tcPr>
          <w:p w:rsidR="00706B43" w:rsidRDefault="003074DC">
            <w:pPr>
              <w:spacing w:after="0"/>
            </w:pPr>
            <w:r>
              <w:rPr>
                <w:rFonts w:ascii="Lato"/>
              </w:rPr>
              <w:t>42 U</w:t>
            </w:r>
            <w:r>
              <w:rPr>
                <w:rFonts w:ascii="Lato"/>
              </w:rPr>
              <w:t xml:space="preserve">.S.C.  </w:t>
            </w:r>
            <w:r>
              <w:rPr>
                <w:rFonts w:ascii="Lato"/>
              </w:rPr>
              <w:t>§§</w:t>
            </w:r>
            <w:r>
              <w:rPr>
                <w:rFonts w:ascii="Lato"/>
              </w:rPr>
              <w:t xml:space="preserve"> 11431-11435</w:t>
            </w:r>
          </w:p>
        </w:tc>
        <w:tc>
          <w:tcPr>
            <w:tcW w:w="5961" w:type="dxa"/>
          </w:tcPr>
          <w:p w:rsidR="00706B43" w:rsidRDefault="003074DC">
            <w:hyperlink r:id="rId25" w:docLocation="http://uscode.house.gov/">
              <w:r>
                <w:rPr>
                  <w:rFonts w:ascii="Lato"/>
                  <w:color w:val="0563C1" w:themeColor="hyperlink"/>
                  <w:u w:val="single"/>
                </w:rPr>
                <w:t>McKinney - Vento Homeless Children's Assistance Act</w:t>
              </w:r>
            </w:hyperlink>
          </w:p>
        </w:tc>
      </w:tr>
      <w:tr w:rsidR="00706B43">
        <w:tblPrEx>
          <w:tblCellMar>
            <w:top w:w="0" w:type="dxa"/>
            <w:bottom w:w="0" w:type="dxa"/>
          </w:tblCellMar>
        </w:tblPrEx>
        <w:tc>
          <w:tcPr>
            <w:tcW w:w="4017" w:type="dxa"/>
          </w:tcPr>
          <w:p w:rsidR="00706B43" w:rsidRDefault="003074DC">
            <w:pPr>
              <w:spacing w:after="0"/>
            </w:pPr>
            <w:r>
              <w:rPr>
                <w:rFonts w:ascii="Lato"/>
              </w:rPr>
              <w:t xml:space="preserve">8 U.S.C. </w:t>
            </w:r>
            <w:r>
              <w:rPr>
                <w:rFonts w:ascii="Lato"/>
              </w:rPr>
              <w:t>§</w:t>
            </w:r>
            <w:r>
              <w:rPr>
                <w:rFonts w:ascii="Lato"/>
              </w:rPr>
              <w:t xml:space="preserve"> 1101</w:t>
            </w:r>
          </w:p>
        </w:tc>
        <w:tc>
          <w:tcPr>
            <w:tcW w:w="5961" w:type="dxa"/>
          </w:tcPr>
          <w:p w:rsidR="00706B43" w:rsidRDefault="003074DC">
            <w:hyperlink r:id="rId26" w:docLocation="http://uscode.house.gov/">
              <w:r>
                <w:rPr>
                  <w:rFonts w:ascii="Lato"/>
                  <w:color w:val="0563C1" w:themeColor="hyperlink"/>
                  <w:u w:val="single"/>
                </w:rPr>
                <w:t>Federal Statute</w:t>
              </w:r>
            </w:hyperlink>
          </w:p>
        </w:tc>
      </w:tr>
      <w:tr w:rsidR="00706B43">
        <w:tblPrEx>
          <w:tblCellMar>
            <w:top w:w="0" w:type="dxa"/>
            <w:bottom w:w="0" w:type="dxa"/>
          </w:tblCellMar>
        </w:tblPrEx>
        <w:tc>
          <w:tcPr>
            <w:tcW w:w="4017" w:type="dxa"/>
          </w:tcPr>
          <w:p w:rsidR="00706B43" w:rsidRDefault="003074DC">
            <w:pPr>
              <w:spacing w:after="0"/>
            </w:pPr>
            <w:r>
              <w:rPr>
                <w:rFonts w:ascii="Lato"/>
              </w:rPr>
              <w:t>FEDERAL COURT</w:t>
            </w:r>
          </w:p>
        </w:tc>
        <w:tc>
          <w:tcPr>
            <w:tcW w:w="5961" w:type="dxa"/>
          </w:tcPr>
          <w:p w:rsidR="00706B43" w:rsidRDefault="003074DC">
            <w:hyperlink r:id="rId27" w:docLocation="http://www.findlaw.com/casecode/supreme.html">
              <w:r>
                <w:rPr>
                  <w:rFonts w:ascii="Lato"/>
                  <w:color w:val="0563C1" w:themeColor="hyperlink"/>
                  <w:u w:val="single"/>
                </w:rPr>
                <w:t>Martinez v. Bynum, 461 U.S. 321 (1983)</w:t>
              </w:r>
            </w:hyperlink>
          </w:p>
        </w:tc>
      </w:tr>
      <w:tr w:rsidR="00706B43">
        <w:tblPrEx>
          <w:tblCellMar>
            <w:top w:w="0" w:type="dxa"/>
            <w:bottom w:w="0" w:type="dxa"/>
          </w:tblCellMar>
        </w:tblPrEx>
        <w:tc>
          <w:tcPr>
            <w:tcW w:w="4017" w:type="dxa"/>
          </w:tcPr>
          <w:p w:rsidR="00706B43" w:rsidRDefault="003074DC">
            <w:pPr>
              <w:spacing w:after="0"/>
            </w:pPr>
            <w:r>
              <w:rPr>
                <w:rFonts w:ascii="Lato"/>
              </w:rPr>
              <w:t>FEDERAL COURT</w:t>
            </w:r>
          </w:p>
        </w:tc>
        <w:tc>
          <w:tcPr>
            <w:tcW w:w="5961" w:type="dxa"/>
          </w:tcPr>
          <w:p w:rsidR="00706B43" w:rsidRDefault="003074DC">
            <w:hyperlink r:id="rId28" w:docLocation="http://https://ecf.moed.uscourts.gov/documents/index.html">
              <w:r>
                <w:rPr>
                  <w:rFonts w:ascii="Lato"/>
                  <w:color w:val="0563C1" w:themeColor="hyperlink"/>
                  <w:u w:val="single"/>
                </w:rPr>
                <w:t>Washington v. Ladue Sch. Dist. Bd. of Educ., 564 F. Supp. 2d 1059 (E.D. Mo. 2008)</w:t>
              </w:r>
            </w:hyperlink>
          </w:p>
        </w:tc>
      </w:tr>
      <w:tr w:rsidR="00706B43">
        <w:tblPrEx>
          <w:tblCellMar>
            <w:top w:w="0" w:type="dxa"/>
            <w:bottom w:w="0" w:type="dxa"/>
          </w:tblCellMar>
        </w:tblPrEx>
        <w:tc>
          <w:tcPr>
            <w:tcW w:w="4017" w:type="dxa"/>
          </w:tcPr>
          <w:p w:rsidR="00706B43" w:rsidRDefault="003074DC">
            <w:pPr>
              <w:spacing w:after="0"/>
            </w:pPr>
            <w:r>
              <w:rPr>
                <w:rFonts w:ascii="Lato"/>
              </w:rPr>
              <w:t>FEDERAL COURT</w:t>
            </w:r>
          </w:p>
        </w:tc>
        <w:tc>
          <w:tcPr>
            <w:tcW w:w="5961" w:type="dxa"/>
          </w:tcPr>
          <w:p w:rsidR="00706B43" w:rsidRDefault="003074DC">
            <w:hyperlink r:id="rId29" w:docLocation="http://www.ca8.uscourts.gov/opinions/opinions.html">
              <w:r>
                <w:rPr>
                  <w:rFonts w:ascii="Lato"/>
                  <w:color w:val="0563C1" w:themeColor="hyperlink"/>
                  <w:u w:val="single"/>
                </w:rPr>
                <w:t>Horton v. Marshall Public Sch., 769 F.2d 1323 (8th Cir. 1985)</w:t>
              </w:r>
            </w:hyperlink>
          </w:p>
        </w:tc>
      </w:tr>
    </w:tbl>
    <w:p w:rsidR="00000000" w:rsidRDefault="003074DC">
      <w:pPr>
        <w:shd w:val="clear" w:color="auto" w:fill="F9F9F9"/>
        <w:spacing w:line="480" w:lineRule="auto"/>
        <w:divId w:val="1103652950"/>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706B43">
        <w:tblPrEx>
          <w:tblCellMar>
            <w:top w:w="0" w:type="dxa"/>
            <w:bottom w:w="0" w:type="dxa"/>
          </w:tblCellMar>
        </w:tblPrEx>
        <w:tc>
          <w:tcPr>
            <w:tcW w:w="4017" w:type="dxa"/>
          </w:tcPr>
          <w:p w:rsidR="00706B43" w:rsidRDefault="003074DC">
            <w:pPr>
              <w:spacing w:after="0"/>
            </w:pPr>
            <w:r>
              <w:rPr>
                <w:rFonts w:ascii="Lato Black"/>
                <w:b/>
              </w:rPr>
              <w:t>Code</w:t>
            </w:r>
          </w:p>
        </w:tc>
        <w:tc>
          <w:tcPr>
            <w:tcW w:w="5961" w:type="dxa"/>
          </w:tcPr>
          <w:p w:rsidR="00706B43" w:rsidRDefault="003074DC">
            <w:pPr>
              <w:spacing w:after="0"/>
            </w:pPr>
            <w:r>
              <w:rPr>
                <w:rFonts w:ascii="Lato Black"/>
                <w:b/>
              </w:rPr>
              <w:t>Description</w:t>
            </w:r>
          </w:p>
        </w:tc>
      </w:tr>
      <w:tr w:rsidR="00706B43">
        <w:tblPrEx>
          <w:tblCellMar>
            <w:top w:w="0" w:type="dxa"/>
            <w:bottom w:w="0" w:type="dxa"/>
          </w:tblCellMar>
        </w:tblPrEx>
        <w:tc>
          <w:tcPr>
            <w:tcW w:w="4017" w:type="dxa"/>
          </w:tcPr>
          <w:p w:rsidR="00706B43" w:rsidRDefault="003074DC">
            <w:pPr>
              <w:spacing w:after="0"/>
            </w:pPr>
            <w:r>
              <w:rPr>
                <w:rFonts w:ascii="Lato"/>
              </w:rPr>
              <w:t>BDC</w:t>
            </w:r>
          </w:p>
        </w:tc>
        <w:tc>
          <w:tcPr>
            <w:tcW w:w="5961" w:type="dxa"/>
          </w:tcPr>
          <w:p w:rsidR="00706B43" w:rsidRDefault="003074DC">
            <w:hyperlink r:id="rId30" w:docLocation="https://simbli.eboardsolutions.com/Policy/ViewPolicy.aspx?S=36031111&amp;revid=9WplusulwIZHU6EkGeDT0oBslshQ==">
              <w:r>
                <w:rPr>
                  <w:rFonts w:ascii="Lato"/>
                  <w:color w:val="0563C1" w:themeColor="hyperlink"/>
                  <w:u w:val="single"/>
                </w:rPr>
                <w:t>CLOSED MEETINGS, RECORDS, AND VOTES</w:t>
              </w:r>
            </w:hyperlink>
          </w:p>
        </w:tc>
      </w:tr>
      <w:tr w:rsidR="00706B43">
        <w:tblPrEx>
          <w:tblCellMar>
            <w:top w:w="0" w:type="dxa"/>
            <w:bottom w:w="0" w:type="dxa"/>
          </w:tblCellMar>
        </w:tblPrEx>
        <w:tc>
          <w:tcPr>
            <w:tcW w:w="4017" w:type="dxa"/>
          </w:tcPr>
          <w:p w:rsidR="00706B43" w:rsidRDefault="003074DC">
            <w:pPr>
              <w:spacing w:after="0"/>
            </w:pPr>
            <w:r>
              <w:rPr>
                <w:rFonts w:ascii="Lato"/>
              </w:rPr>
              <w:t>DFI-1</w:t>
            </w:r>
          </w:p>
        </w:tc>
        <w:tc>
          <w:tcPr>
            <w:tcW w:w="5961" w:type="dxa"/>
          </w:tcPr>
          <w:p w:rsidR="00706B43" w:rsidRDefault="003074DC">
            <w:hyperlink r:id="rId31" w:docLocation="https://simbli.eboardsolutions.com/Policy/ViewPolicy.aspx?S=36031111&amp;revid=s6ub3ZQcKUBwlpbORsLLUA==">
              <w:r>
                <w:rPr>
                  <w:rFonts w:ascii="Lato"/>
                  <w:color w:val="0563C1" w:themeColor="hyperlink"/>
                  <w:u w:val="single"/>
                </w:rPr>
                <w:t>SETTING TUITION FOR DISTRICT PROGR</w:t>
              </w:r>
              <w:r>
                <w:rPr>
                  <w:rFonts w:ascii="Lato"/>
                  <w:color w:val="0563C1" w:themeColor="hyperlink"/>
                  <w:u w:val="single"/>
                </w:rPr>
                <w:t>AMS</w:t>
              </w:r>
            </w:hyperlink>
          </w:p>
        </w:tc>
      </w:tr>
      <w:tr w:rsidR="00706B43">
        <w:tblPrEx>
          <w:tblCellMar>
            <w:top w:w="0" w:type="dxa"/>
            <w:bottom w:w="0" w:type="dxa"/>
          </w:tblCellMar>
        </w:tblPrEx>
        <w:tc>
          <w:tcPr>
            <w:tcW w:w="4017" w:type="dxa"/>
          </w:tcPr>
          <w:p w:rsidR="00706B43" w:rsidRDefault="003074DC">
            <w:pPr>
              <w:spacing w:after="0"/>
            </w:pPr>
            <w:r>
              <w:rPr>
                <w:rFonts w:ascii="Lato"/>
              </w:rPr>
              <w:t>DFI-2</w:t>
            </w:r>
          </w:p>
        </w:tc>
        <w:tc>
          <w:tcPr>
            <w:tcW w:w="5961" w:type="dxa"/>
          </w:tcPr>
          <w:p w:rsidR="00706B43" w:rsidRDefault="003074DC">
            <w:hyperlink r:id="rId32" w:docLocation="https://simbli.eboardsolutions.com/Policy/ViewPolicy.aspx?S=36031111&amp;revid=JNYsI7VpnYDKRSIrHwrZPg==">
              <w:r>
                <w:rPr>
                  <w:rFonts w:ascii="Lato"/>
                  <w:color w:val="0563C1" w:themeColor="hyperlink"/>
                  <w:u w:val="single"/>
                </w:rPr>
                <w:t>SETTING TUITION FOR D</w:t>
              </w:r>
              <w:r>
                <w:rPr>
                  <w:rFonts w:ascii="Lato"/>
                  <w:color w:val="0563C1" w:themeColor="hyperlink"/>
                  <w:u w:val="single"/>
                </w:rPr>
                <w:t>ISTRICT PROGRAMS</w:t>
              </w:r>
            </w:hyperlink>
          </w:p>
        </w:tc>
      </w:tr>
      <w:tr w:rsidR="00706B43">
        <w:tblPrEx>
          <w:tblCellMar>
            <w:top w:w="0" w:type="dxa"/>
            <w:bottom w:w="0" w:type="dxa"/>
          </w:tblCellMar>
        </w:tblPrEx>
        <w:tc>
          <w:tcPr>
            <w:tcW w:w="4017" w:type="dxa"/>
          </w:tcPr>
          <w:p w:rsidR="00706B43" w:rsidRDefault="003074DC">
            <w:pPr>
              <w:spacing w:after="0"/>
            </w:pPr>
            <w:r>
              <w:rPr>
                <w:rFonts w:ascii="Lato"/>
              </w:rPr>
              <w:t>IGBCA</w:t>
            </w:r>
          </w:p>
        </w:tc>
        <w:tc>
          <w:tcPr>
            <w:tcW w:w="5961" w:type="dxa"/>
          </w:tcPr>
          <w:p w:rsidR="00706B43" w:rsidRDefault="003074DC">
            <w:hyperlink r:id="rId33" w:docLocation="https://simbli.eboardsolutions.com/Policy/ViewPolicy.aspx?S=36031111&amp;revid=U1DUyUVo8h4Dno9p3RR5LQ==">
              <w:r>
                <w:rPr>
                  <w:rFonts w:ascii="Lato"/>
                  <w:color w:val="0563C1" w:themeColor="hyperlink"/>
                  <w:u w:val="single"/>
                </w:rPr>
                <w:t>PROGRAMS</w:t>
              </w:r>
              <w:r>
                <w:rPr>
                  <w:rFonts w:ascii="Lato"/>
                  <w:color w:val="0563C1" w:themeColor="hyperlink"/>
                  <w:u w:val="single"/>
                </w:rPr>
                <w:t xml:space="preserve"> FOR HOMELESS STUDENTS</w:t>
              </w:r>
            </w:hyperlink>
          </w:p>
        </w:tc>
      </w:tr>
      <w:tr w:rsidR="00706B43">
        <w:tblPrEx>
          <w:tblCellMar>
            <w:top w:w="0" w:type="dxa"/>
            <w:bottom w:w="0" w:type="dxa"/>
          </w:tblCellMar>
        </w:tblPrEx>
        <w:tc>
          <w:tcPr>
            <w:tcW w:w="4017" w:type="dxa"/>
          </w:tcPr>
          <w:p w:rsidR="00706B43" w:rsidRDefault="003074DC">
            <w:pPr>
              <w:spacing w:after="0"/>
            </w:pPr>
            <w:r>
              <w:rPr>
                <w:rFonts w:ascii="Lato"/>
              </w:rPr>
              <w:t>IGBCA-AF(1)</w:t>
            </w:r>
          </w:p>
        </w:tc>
        <w:tc>
          <w:tcPr>
            <w:tcW w:w="5961" w:type="dxa"/>
          </w:tcPr>
          <w:p w:rsidR="00706B43" w:rsidRDefault="003074DC">
            <w:hyperlink r:id="rId34" w:docLocation="https://simbli.eboardsolutions.com/Policy/ViewPolicy.aspx?S=36031111&amp;revid=K6hsFzNwS66v1E00bj9Zqw==">
              <w:r>
                <w:rPr>
                  <w:rFonts w:ascii="Lato"/>
                  <w:color w:val="0563C1" w:themeColor="hyperlink"/>
                  <w:u w:val="single"/>
                </w:rPr>
                <w:t>PROGRAMS FOR HOMELESS STUDENTS - (Eligibility Notification, Enrollment, Placement, and Dispute Resolution)</w:t>
              </w:r>
            </w:hyperlink>
          </w:p>
        </w:tc>
      </w:tr>
      <w:tr w:rsidR="00706B43">
        <w:tblPrEx>
          <w:tblCellMar>
            <w:top w:w="0" w:type="dxa"/>
            <w:bottom w:w="0" w:type="dxa"/>
          </w:tblCellMar>
        </w:tblPrEx>
        <w:tc>
          <w:tcPr>
            <w:tcW w:w="4017" w:type="dxa"/>
          </w:tcPr>
          <w:p w:rsidR="00706B43" w:rsidRDefault="003074DC">
            <w:pPr>
              <w:spacing w:after="0"/>
            </w:pPr>
            <w:r>
              <w:rPr>
                <w:rFonts w:ascii="Lato"/>
              </w:rPr>
              <w:t>IGBCB</w:t>
            </w:r>
          </w:p>
        </w:tc>
        <w:tc>
          <w:tcPr>
            <w:tcW w:w="5961" w:type="dxa"/>
          </w:tcPr>
          <w:p w:rsidR="00706B43" w:rsidRDefault="003074DC">
            <w:hyperlink r:id="rId35" w:docLocation="https://simbli.eboardsolutions.com/Policy/ViewPolicy.aspx?S=36031111&amp;revid=rHznT9uXr9ksasfgqcmTUw==">
              <w:r>
                <w:rPr>
                  <w:rFonts w:ascii="Lato"/>
                  <w:color w:val="0563C1" w:themeColor="hyperlink"/>
                  <w:u w:val="single"/>
                </w:rPr>
                <w:t>PROGRAMS FOR MIGRATORY STUDENTS</w:t>
              </w:r>
            </w:hyperlink>
          </w:p>
        </w:tc>
      </w:tr>
      <w:tr w:rsidR="00706B43">
        <w:tblPrEx>
          <w:tblCellMar>
            <w:top w:w="0" w:type="dxa"/>
            <w:bottom w:w="0" w:type="dxa"/>
          </w:tblCellMar>
        </w:tblPrEx>
        <w:tc>
          <w:tcPr>
            <w:tcW w:w="4017" w:type="dxa"/>
          </w:tcPr>
          <w:p w:rsidR="00706B43" w:rsidRDefault="003074DC">
            <w:pPr>
              <w:spacing w:after="0"/>
            </w:pPr>
            <w:r>
              <w:rPr>
                <w:rFonts w:ascii="Lato"/>
              </w:rPr>
              <w:t>IGBE-AP(1)</w:t>
            </w:r>
          </w:p>
        </w:tc>
        <w:tc>
          <w:tcPr>
            <w:tcW w:w="5961" w:type="dxa"/>
          </w:tcPr>
          <w:p w:rsidR="00706B43" w:rsidRDefault="003074DC">
            <w:hyperlink r:id="rId36" w:docLocation="https://simbli.eboardsolutions.com/Policy/ViewPolicy.aspx?S=36031111&amp;revid=sYmyLUW9a8zDIvpZmfG2Vg==">
              <w:r>
                <w:rPr>
                  <w:rFonts w:ascii="Lato"/>
                  <w:color w:val="0563C1" w:themeColor="hyperlink"/>
                  <w:u w:val="single"/>
                </w:rPr>
                <w:t>STUDENTS IN FOSTER CARE - (Dispute Resolution Process)</w:t>
              </w:r>
            </w:hyperlink>
          </w:p>
        </w:tc>
      </w:tr>
      <w:tr w:rsidR="00706B43">
        <w:tblPrEx>
          <w:tblCellMar>
            <w:top w:w="0" w:type="dxa"/>
            <w:bottom w:w="0" w:type="dxa"/>
          </w:tblCellMar>
        </w:tblPrEx>
        <w:tc>
          <w:tcPr>
            <w:tcW w:w="4017" w:type="dxa"/>
          </w:tcPr>
          <w:p w:rsidR="00706B43" w:rsidRDefault="003074DC">
            <w:pPr>
              <w:spacing w:after="0"/>
            </w:pPr>
            <w:r>
              <w:rPr>
                <w:rFonts w:ascii="Lato"/>
              </w:rPr>
              <w:t>IGBE-1</w:t>
            </w:r>
          </w:p>
        </w:tc>
        <w:tc>
          <w:tcPr>
            <w:tcW w:w="5961" w:type="dxa"/>
          </w:tcPr>
          <w:p w:rsidR="00706B43" w:rsidRDefault="003074DC">
            <w:hyperlink r:id="rId37" w:docLocation="https://simbli.eboardsolutions.com/Policy/ViewPolicy.aspx?S=36031111&amp;revid=TaETbI7HLqN6694AtwVbBg==">
              <w:r>
                <w:rPr>
                  <w:rFonts w:ascii="Lato"/>
                  <w:color w:val="0563C1" w:themeColor="hyperlink"/>
                  <w:u w:val="single"/>
                </w:rPr>
                <w:t>STUDENTS IN FOSTER CARE</w:t>
              </w:r>
            </w:hyperlink>
          </w:p>
        </w:tc>
      </w:tr>
      <w:tr w:rsidR="00706B43">
        <w:tblPrEx>
          <w:tblCellMar>
            <w:top w:w="0" w:type="dxa"/>
            <w:bottom w:w="0" w:type="dxa"/>
          </w:tblCellMar>
        </w:tblPrEx>
        <w:tc>
          <w:tcPr>
            <w:tcW w:w="4017" w:type="dxa"/>
          </w:tcPr>
          <w:p w:rsidR="00706B43" w:rsidRDefault="003074DC">
            <w:pPr>
              <w:spacing w:after="0"/>
            </w:pPr>
            <w:r>
              <w:rPr>
                <w:rFonts w:ascii="Lato"/>
              </w:rPr>
              <w:t>IGBE-2</w:t>
            </w:r>
          </w:p>
        </w:tc>
        <w:tc>
          <w:tcPr>
            <w:tcW w:w="5961" w:type="dxa"/>
          </w:tcPr>
          <w:p w:rsidR="00706B43" w:rsidRDefault="003074DC">
            <w:hyperlink r:id="rId38" w:docLocation="https://simbli.eboardsolutions.com/Policy/ViewPolicy.aspx?S=36031111&amp;revid=ZbI1DS7yXEqTQWQGinQamQ==">
              <w:r>
                <w:rPr>
                  <w:rFonts w:ascii="Lato"/>
                  <w:color w:val="0563C1" w:themeColor="hyperlink"/>
                  <w:u w:val="single"/>
                </w:rPr>
                <w:t>STUDENTS IN FOSTER CARE</w:t>
              </w:r>
            </w:hyperlink>
          </w:p>
        </w:tc>
      </w:tr>
      <w:tr w:rsidR="00706B43">
        <w:tblPrEx>
          <w:tblCellMar>
            <w:top w:w="0" w:type="dxa"/>
            <w:bottom w:w="0" w:type="dxa"/>
          </w:tblCellMar>
        </w:tblPrEx>
        <w:tc>
          <w:tcPr>
            <w:tcW w:w="4017" w:type="dxa"/>
          </w:tcPr>
          <w:p w:rsidR="00706B43" w:rsidRDefault="003074DC">
            <w:pPr>
              <w:spacing w:after="0"/>
            </w:pPr>
            <w:r>
              <w:rPr>
                <w:rFonts w:ascii="Lato"/>
              </w:rPr>
              <w:t>IHB</w:t>
            </w:r>
          </w:p>
        </w:tc>
        <w:tc>
          <w:tcPr>
            <w:tcW w:w="5961" w:type="dxa"/>
          </w:tcPr>
          <w:p w:rsidR="00706B43" w:rsidRDefault="003074DC">
            <w:hyperlink r:id="rId39" w:docLocation="https://simbli.eboardsolutions.com/Policy/ViewPolicy.aspx?S=36031111&amp;revid=qbkvfEJ3cslshOyXPD9i9iHaQ==">
              <w:r>
                <w:rPr>
                  <w:rFonts w:ascii="Lato"/>
                  <w:color w:val="0563C1" w:themeColor="hyperlink"/>
                  <w:u w:val="single"/>
                </w:rPr>
                <w:t>CLASS SIZE</w:t>
              </w:r>
            </w:hyperlink>
          </w:p>
        </w:tc>
      </w:tr>
    </w:tbl>
    <w:p w:rsidR="00000000" w:rsidRDefault="003074DC"/>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17EF"/>
    <w:multiLevelType w:val="multilevel"/>
    <w:tmpl w:val="9FA88F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B2040A"/>
    <w:multiLevelType w:val="multilevel"/>
    <w:tmpl w:val="3D925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3B7EFF"/>
    <w:multiLevelType w:val="multilevel"/>
    <w:tmpl w:val="ABC4E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E817F0"/>
    <w:multiLevelType w:val="multilevel"/>
    <w:tmpl w:val="F6B64D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B43"/>
    <w:rsid w:val="003074DC"/>
    <w:rsid w:val="00706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A851"/>
  <w15:docId w15:val="{B9BD284A-033E-4AF3-95E7-4BC7A621A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3383649">
      <w:bodyDiv w:val="1"/>
      <w:marLeft w:val="0"/>
      <w:marRight w:val="0"/>
      <w:marTop w:val="0"/>
      <w:marBottom w:val="0"/>
      <w:divBdr>
        <w:top w:val="none" w:sz="0" w:space="0" w:color="auto"/>
        <w:left w:val="none" w:sz="0" w:space="0" w:color="auto"/>
        <w:bottom w:val="none" w:sz="0" w:space="0" w:color="auto"/>
        <w:right w:val="none" w:sz="0" w:space="0" w:color="auto"/>
      </w:divBdr>
      <w:divsChild>
        <w:div w:id="1713580208">
          <w:marLeft w:val="600"/>
          <w:marRight w:val="0"/>
          <w:marTop w:val="0"/>
          <w:marBottom w:val="0"/>
          <w:divBdr>
            <w:top w:val="none" w:sz="0" w:space="0" w:color="auto"/>
            <w:left w:val="none" w:sz="0" w:space="0" w:color="auto"/>
            <w:bottom w:val="none" w:sz="0" w:space="0" w:color="auto"/>
            <w:right w:val="none" w:sz="0" w:space="0" w:color="auto"/>
          </w:divBdr>
        </w:div>
      </w:divsChild>
    </w:div>
    <w:div w:id="1613511496">
      <w:bodyDiv w:val="1"/>
      <w:marLeft w:val="0"/>
      <w:marRight w:val="0"/>
      <w:marTop w:val="0"/>
      <w:marBottom w:val="0"/>
      <w:divBdr>
        <w:top w:val="none" w:sz="0" w:space="0" w:color="auto"/>
        <w:left w:val="none" w:sz="0" w:space="0" w:color="auto"/>
        <w:bottom w:val="none" w:sz="0" w:space="0" w:color="auto"/>
        <w:right w:val="none" w:sz="0" w:space="0" w:color="auto"/>
      </w:divBdr>
      <w:divsChild>
        <w:div w:id="1103652950">
          <w:marLeft w:val="0"/>
          <w:marRight w:val="0"/>
          <w:marTop w:val="150"/>
          <w:marBottom w:val="0"/>
          <w:divBdr>
            <w:top w:val="none" w:sz="0" w:space="0" w:color="auto"/>
            <w:left w:val="none" w:sz="0" w:space="0" w:color="auto"/>
            <w:bottom w:val="none" w:sz="0" w:space="0" w:color="auto"/>
            <w:right w:val="none" w:sz="0" w:space="0" w:color="auto"/>
          </w:divBdr>
        </w:div>
      </w:divsChild>
    </w:div>
    <w:div w:id="1641496409">
      <w:bodyDiv w:val="1"/>
      <w:marLeft w:val="0"/>
      <w:marRight w:val="0"/>
      <w:marTop w:val="0"/>
      <w:marBottom w:val="0"/>
      <w:divBdr>
        <w:top w:val="none" w:sz="0" w:space="0" w:color="auto"/>
        <w:left w:val="none" w:sz="0" w:space="0" w:color="auto"/>
        <w:bottom w:val="none" w:sz="0" w:space="0" w:color="auto"/>
        <w:right w:val="none" w:sz="0" w:space="0" w:color="auto"/>
      </w:divBdr>
      <w:divsChild>
        <w:div w:id="97719443">
          <w:marLeft w:val="0"/>
          <w:marRight w:val="0"/>
          <w:marTop w:val="0"/>
          <w:marBottom w:val="0"/>
          <w:divBdr>
            <w:top w:val="none" w:sz="0" w:space="0" w:color="auto"/>
            <w:left w:val="none" w:sz="0" w:space="0" w:color="auto"/>
            <w:bottom w:val="none" w:sz="0" w:space="0" w:color="auto"/>
            <w:right w:val="none" w:sz="0" w:space="0" w:color="auto"/>
          </w:divBdr>
          <w:divsChild>
            <w:div w:id="441343556">
              <w:marLeft w:val="0"/>
              <w:marRight w:val="0"/>
              <w:marTop w:val="0"/>
              <w:marBottom w:val="0"/>
              <w:divBdr>
                <w:top w:val="none" w:sz="0" w:space="0" w:color="auto"/>
                <w:left w:val="none" w:sz="0" w:space="0" w:color="auto"/>
                <w:bottom w:val="none" w:sz="0" w:space="0" w:color="auto"/>
                <w:right w:val="none" w:sz="0" w:space="0" w:color="auto"/>
              </w:divBdr>
              <w:divsChild>
                <w:div w:id="5805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revisor.mo.gov/main/Home.aspx" TargetMode="External"/><Relationship Id="rId26" Type="http://schemas.openxmlformats.org/officeDocument/2006/relationships/hyperlink" Target="http://uscode.house.gov/" TargetMode="External"/><Relationship Id="rId39" Type="http://schemas.openxmlformats.org/officeDocument/2006/relationships/hyperlink" Target="https://simbli.eboardsolutions.com/Policy/ViewPolicy.aspx?S=36031111&amp;revid=qbkvfEJ3cslshOyXPD9i9iHaQ==" TargetMode="External"/><Relationship Id="rId3" Type="http://schemas.openxmlformats.org/officeDocument/2006/relationships/settings" Target="settings.xml"/><Relationship Id="rId21" Type="http://schemas.openxmlformats.org/officeDocument/2006/relationships/hyperlink" Target="https://revisor.mo.gov/main/Home.aspx" TargetMode="External"/><Relationship Id="rId34" Type="http://schemas.openxmlformats.org/officeDocument/2006/relationships/hyperlink" Target="https://simbli.eboardsolutions.com/Policy/ViewPolicy.aspx?S=36031111&amp;revid=K6hsFzNwS66v1E00bj9Zqw=="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revisor.mo.gov/main/Home.aspx" TargetMode="External"/><Relationship Id="rId25" Type="http://schemas.openxmlformats.org/officeDocument/2006/relationships/hyperlink" Target="http://uscode.house.gov/" TargetMode="External"/><Relationship Id="rId33" Type="http://schemas.openxmlformats.org/officeDocument/2006/relationships/hyperlink" Target="https://simbli.eboardsolutions.com/Policy/ViewPolicy.aspx?S=36031111&amp;revid=U1DUyUVo8h4Dno9p3RR5LQ==" TargetMode="External"/><Relationship Id="rId38" Type="http://schemas.openxmlformats.org/officeDocument/2006/relationships/hyperlink" Target="https://simbli.eboardsolutions.com/Policy/ViewPolicy.aspx?S=36031111&amp;revid=ZbI1DS7yXEqTQWQGinQamQ==" TargetMode="External"/><Relationship Id="rId2" Type="http://schemas.openxmlformats.org/officeDocument/2006/relationships/styles" Target="styles.xml"/><Relationship Id="rId16" Type="http://schemas.openxmlformats.org/officeDocument/2006/relationships/hyperlink" Target="https://revisor.mo.gov/main/Home.aspx" TargetMode="External"/><Relationship Id="rId20" Type="http://schemas.openxmlformats.org/officeDocument/2006/relationships/hyperlink" Target="https://revisor.mo.gov/main/Home.aspx" TargetMode="External"/><Relationship Id="rId29" Type="http://schemas.openxmlformats.org/officeDocument/2006/relationships/hyperlink" Target="http://www.ca8.uscourts.gov/opinions/opinions.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www.courts.mo.gov/" TargetMode="External"/><Relationship Id="rId32" Type="http://schemas.openxmlformats.org/officeDocument/2006/relationships/hyperlink" Target="https://simbli.eboardsolutions.com/Policy/ViewPolicy.aspx?S=36031111&amp;revid=JNYsI7VpnYDKRSIrHwrZPg==" TargetMode="External"/><Relationship Id="rId37" Type="http://schemas.openxmlformats.org/officeDocument/2006/relationships/hyperlink" Target="https://simbli.eboardsolutions.com/Policy/ViewPolicy.aspx?S=36031111&amp;revid=TaETbI7HLqN6694AtwVbBg==" TargetMode="External"/><Relationship Id="rId40" Type="http://schemas.openxmlformats.org/officeDocument/2006/relationships/fontTable" Target="fontTable.xm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s://www.courts.mo.gov/" TargetMode="External"/><Relationship Id="rId28" Type="http://schemas.openxmlformats.org/officeDocument/2006/relationships/hyperlink" Target="http://https://ecf.moed.uscourts.gov/documents/index.html" TargetMode="External"/><Relationship Id="rId36" Type="http://schemas.openxmlformats.org/officeDocument/2006/relationships/hyperlink" Target="https://simbli.eboardsolutions.com/Policy/ViewPolicy.aspx?S=36031111&amp;revid=sYmyLUW9a8zDIvpZmfG2Vg==" TargetMode="External"/><Relationship Id="rId10" Type="http://schemas.openxmlformats.org/officeDocument/2006/relationships/hyperlink" Target="https://revisor.mo.gov/main/Home.aspx" TargetMode="External"/><Relationship Id="rId19" Type="http://schemas.openxmlformats.org/officeDocument/2006/relationships/hyperlink" Target="https://revisor.mo.gov/main/Home.aspx" TargetMode="External"/><Relationship Id="rId31" Type="http://schemas.openxmlformats.org/officeDocument/2006/relationships/hyperlink" Target="https://simbli.eboardsolutions.com/Policy/ViewPolicy.aspx?S=36031111&amp;revid=s6ub3ZQcKUBwlpbORsLLUA=="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s://revisor.mo.gov/main/Home.aspx" TargetMode="External"/><Relationship Id="rId27" Type="http://schemas.openxmlformats.org/officeDocument/2006/relationships/hyperlink" Target="http://www.findlaw.com/casecode/supreme.html" TargetMode="External"/><Relationship Id="rId30" Type="http://schemas.openxmlformats.org/officeDocument/2006/relationships/hyperlink" Target="https://simbli.eboardsolutions.com/Policy/ViewPolicy.aspx?S=36031111&amp;revid=9WplusulwIZHU6EkGeDT0oBslshQ==" TargetMode="External"/><Relationship Id="rId35" Type="http://schemas.openxmlformats.org/officeDocument/2006/relationships/hyperlink" Target="https://simbli.eboardsolutions.com/Policy/ViewPolicy.aspx?S=36031111&amp;revid=rHznT9uXr9ksasfgqcmTU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3263</Words>
  <Characters>18604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2024-12-31T21:14:00Z</dcterms:created>
  <dcterms:modified xsi:type="dcterms:W3CDTF">2024-12-31T21:14:00Z</dcterms:modified>
</cp:coreProperties>
</file>